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glossary/styles.xml" ContentType="application/vnd.openxmlformats-officedocument.wordprocessingml.styles+xml"/>
  <Override PartName="/word/webSettings.xml" ContentType="application/vnd.openxmlformats-officedocument.wordprocessingml.web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Open Sans" w:eastAsiaTheme="minorHAnsi" w:hAnsi="Open Sans" w:cstheme="minorBidi"/>
          <w:b/>
          <w:bCs/>
          <w:sz w:val="32"/>
          <w:szCs w:val="22"/>
          <w:lang w:eastAsia="fr-FR"/>
        </w:rPr>
        <w:id w:val="-595556880"/>
        <w:docPartObj>
          <w:docPartGallery w:val="Cover Pages"/>
          <w:docPartUnique/>
        </w:docPartObj>
      </w:sdtPr>
      <w:sdtContent>
        <w:p w14:paraId="6E84CD4A" w14:textId="77777777" w:rsidR="00BA6CC1" w:rsidRPr="00BA6CC1" w:rsidRDefault="00D5594C" w:rsidP="00BA6CC1">
          <w:pPr>
            <w:pStyle w:val="Corpsdetexte"/>
            <w:ind w:right="-10440"/>
            <w:rPr>
              <w:rFonts w:ascii="Open Sans" w:eastAsiaTheme="minorHAnsi" w:hAnsi="Open Sans" w:cs="Open Sans"/>
              <w:b/>
              <w:bCs/>
              <w:i/>
              <w:iCs/>
              <w:color w:val="FFFFFF" w:themeColor="background1"/>
              <w:sz w:val="28"/>
              <w:szCs w:val="28"/>
              <w:lang w:eastAsia="fr-FR"/>
            </w:rPr>
          </w:pPr>
          <w:r w:rsidRPr="00F90ED5">
            <w:rPr>
              <w:rFonts w:ascii="Open Sans" w:eastAsiaTheme="minorHAnsi" w:hAnsi="Open Sans" w:cs="Open Sans"/>
              <w:b/>
              <w:bCs/>
              <w:i/>
              <w:iCs/>
              <w:noProof/>
              <w:color w:val="FFFFFF" w:themeColor="background1"/>
              <w:sz w:val="28"/>
              <w:szCs w:val="28"/>
              <w:lang w:eastAsia="fr-FR"/>
              <w14:ligatures w14:val="standardContextual"/>
            </w:rPr>
            <mc:AlternateContent>
              <mc:Choice Requires="wps">
                <w:drawing>
                  <wp:anchor distT="0" distB="0" distL="114300" distR="114300" simplePos="0" relativeHeight="251661312" behindDoc="1" locked="0" layoutInCell="1" allowOverlap="1" wp14:anchorId="720970D9" wp14:editId="259F4102">
                    <wp:simplePos x="0" y="0"/>
                    <wp:positionH relativeFrom="column">
                      <wp:posOffset>-1009650</wp:posOffset>
                    </wp:positionH>
                    <wp:positionV relativeFrom="paragraph">
                      <wp:posOffset>-1009650</wp:posOffset>
                    </wp:positionV>
                    <wp:extent cx="15506700" cy="10877550"/>
                    <wp:effectExtent l="0" t="0" r="19050" b="19050"/>
                    <wp:wrapNone/>
                    <wp:docPr id="2000460830" name="Rectangle 10"/>
                    <wp:cNvGraphicFramePr/>
                    <a:graphic xmlns:a="http://schemas.openxmlformats.org/drawingml/2006/main">
                      <a:graphicData uri="http://schemas.microsoft.com/office/word/2010/wordprocessingShape">
                        <wps:wsp>
                          <wps:cNvSpPr/>
                          <wps:spPr>
                            <a:xfrm>
                              <a:off x="0" y="0"/>
                              <a:ext cx="15506700" cy="108775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091FF" id="Rectangle 10" o:spid="_x0000_s1026" style="position:absolute;margin-left:-79.5pt;margin-top:-79.5pt;width:1221pt;height:85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" fillcolor="#4472c4 [3204]" strokecolor="#09101d [484]" strokeweight="1pt"/>
                </w:pict>
              </mc:Fallback>
            </mc:AlternateContent>
          </w:r>
          <w:r w:rsidR="00BA6CC1" w:rsidRPr="00BA6CC1">
            <w:rPr>
              <w:rFonts w:ascii="Open Sans" w:eastAsiaTheme="minorHAnsi" w:hAnsi="Open Sans" w:cs="Open Sans"/>
              <w:b/>
              <w:bCs/>
              <w:i/>
              <w:iCs/>
              <w:color w:val="FFFFFF" w:themeColor="background1"/>
              <w:sz w:val="28"/>
              <w:szCs w:val="28"/>
              <w:lang w:eastAsia="fr-FR"/>
            </w:rPr>
            <w:t>MODULE 4 – Audit fiscal et gestion de la contribution fiscale familiale</w:t>
          </w:r>
        </w:p>
        <w:p w14:paraId="06BD1E38" w14:textId="77C4824C" w:rsidR="00D5594C" w:rsidRPr="00F90ED5" w:rsidRDefault="00BA6CC1" w:rsidP="00BA6CC1">
          <w:pPr>
            <w:pStyle w:val="Corpsdetexte"/>
            <w:ind w:right="-10440"/>
            <w:rPr>
              <w:rFonts w:ascii="Open Sans" w:eastAsiaTheme="minorHAnsi" w:hAnsi="Open Sans" w:cs="Open Sans"/>
              <w:b/>
              <w:bCs/>
              <w:color w:val="FFFFFF" w:themeColor="background1"/>
              <w:sz w:val="28"/>
              <w:szCs w:val="28"/>
              <w:lang w:eastAsia="fr-FR"/>
            </w:rPr>
          </w:pPr>
          <w:r w:rsidRPr="00BA6CC1">
            <w:rPr>
              <w:rFonts w:ascii="Open Sans" w:eastAsiaTheme="minorHAnsi" w:hAnsi="Open Sans" w:cs="Open Sans"/>
              <w:b/>
              <w:bCs/>
              <w:i/>
              <w:iCs/>
              <w:color w:val="FFFFFF" w:themeColor="background1"/>
              <w:sz w:val="28"/>
              <w:szCs w:val="28"/>
              <w:lang w:eastAsia="fr-FR"/>
            </w:rPr>
            <w:t>Leçon 2 : L’impôt sur la fortune immobilière</w:t>
          </w:r>
        </w:p>
        <w:p w14:paraId="203D0504"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5FF6268B"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01319644"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665E542A"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4BCFC891"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7D4E4AE6" w14:textId="77777777" w:rsidR="00D5594C" w:rsidRPr="00F90ED5" w:rsidRDefault="00D5594C" w:rsidP="00E72F4C">
          <w:pPr>
            <w:pStyle w:val="Corpsdetexte"/>
            <w:ind w:right="-10440"/>
            <w:rPr>
              <w:rFonts w:ascii="Open Sans" w:eastAsiaTheme="minorHAnsi" w:hAnsi="Open Sans" w:cs="Open Sans"/>
              <w:b/>
              <w:bCs/>
              <w:color w:val="FFFFFF" w:themeColor="background1"/>
              <w:sz w:val="28"/>
              <w:szCs w:val="28"/>
              <w:lang w:eastAsia="fr-FR"/>
            </w:rPr>
          </w:pPr>
        </w:p>
        <w:p w14:paraId="1E35AAAF" w14:textId="77777777" w:rsidR="000138BB" w:rsidRPr="00F90ED5" w:rsidRDefault="000138BB" w:rsidP="00E72F4C">
          <w:pPr>
            <w:pStyle w:val="Corpsdetexte"/>
            <w:ind w:right="-10440"/>
            <w:rPr>
              <w:rFonts w:ascii="Open Sans" w:eastAsiaTheme="minorHAnsi" w:hAnsi="Open Sans" w:cs="Open Sans"/>
              <w:b/>
              <w:bCs/>
              <w:color w:val="FFFFFF" w:themeColor="background1"/>
              <w:sz w:val="28"/>
              <w:szCs w:val="28"/>
              <w:lang w:eastAsia="fr-FR"/>
            </w:rPr>
          </w:pPr>
        </w:p>
        <w:p w14:paraId="70DC3FA7" w14:textId="77777777" w:rsidR="000138BB" w:rsidRPr="00F90ED5" w:rsidRDefault="000138BB" w:rsidP="00E72F4C">
          <w:pPr>
            <w:pStyle w:val="Corpsdetexte"/>
            <w:ind w:right="-10440"/>
            <w:rPr>
              <w:rFonts w:ascii="Open Sans" w:eastAsiaTheme="minorHAnsi" w:hAnsi="Open Sans" w:cs="Open Sans"/>
              <w:b/>
              <w:bCs/>
              <w:color w:val="FFFFFF" w:themeColor="background1"/>
              <w:sz w:val="28"/>
              <w:szCs w:val="28"/>
              <w:lang w:eastAsia="fr-FR"/>
            </w:rPr>
          </w:pPr>
        </w:p>
        <w:p w14:paraId="5389D63F" w14:textId="77777777" w:rsidR="000138BB" w:rsidRPr="00F90ED5" w:rsidRDefault="000138BB" w:rsidP="00E72F4C">
          <w:pPr>
            <w:pStyle w:val="Corpsdetexte"/>
            <w:ind w:right="-10440"/>
            <w:rPr>
              <w:rFonts w:ascii="Open Sans" w:eastAsiaTheme="minorHAnsi" w:hAnsi="Open Sans" w:cs="Open Sans"/>
              <w:b/>
              <w:bCs/>
              <w:color w:val="FFFFFF" w:themeColor="background1"/>
              <w:sz w:val="28"/>
              <w:szCs w:val="28"/>
              <w:lang w:eastAsia="fr-FR"/>
            </w:rPr>
          </w:pPr>
        </w:p>
        <w:p w14:paraId="79EE58E3" w14:textId="77777777" w:rsidR="00D5594C" w:rsidRPr="00F90ED5" w:rsidRDefault="00D5594C" w:rsidP="00E72F4C">
          <w:pPr>
            <w:pStyle w:val="Corpsdetexte"/>
            <w:ind w:right="-10440"/>
            <w:rPr>
              <w:rFonts w:ascii="Open Sans" w:eastAsiaTheme="minorHAnsi" w:hAnsi="Open Sans" w:cs="Open Sans"/>
              <w:b/>
              <w:bCs/>
              <w:color w:val="FFFFFF" w:themeColor="background1"/>
              <w:sz w:val="56"/>
              <w:szCs w:val="56"/>
              <w:lang w:eastAsia="fr-FR"/>
            </w:rPr>
          </w:pPr>
        </w:p>
        <w:sdt>
          <w:sdtPr>
            <w:rPr>
              <w:rFonts w:ascii="Open Sans" w:hAnsi="Open Sans" w:cs="Open Sans"/>
              <w:b/>
              <w:bCs/>
              <w:color w:val="FFFFFF" w:themeColor="background1"/>
              <w:sz w:val="56"/>
              <w:szCs w:val="56"/>
            </w:rPr>
            <w:alias w:val="Titre "/>
            <w:tag w:val=""/>
            <w:id w:val="1448198573"/>
            <w:placeholder>
              <w:docPart w:val="306D14F6A22C4A19BA5D70334F5F459D"/>
            </w:placeholder>
            <w:dataBinding w:prefixMappings="xmlns:ns0='http://purl.org/dc/elements/1.1/' xmlns:ns1='http://schemas.openxmlformats.org/package/2006/metadata/core-properties' " w:xpath="/ns1:coreProperties[1]/ns0:title[1]" w:storeItemID="{6C3C8BC8-F283-45AE-878A-BAB7291924A1}"/>
            <w:text/>
          </w:sdtPr>
          <w:sdtContent>
            <w:p w14:paraId="0B3EA862" w14:textId="2C7B79B7" w:rsidR="00D043E1" w:rsidRPr="00F90ED5" w:rsidRDefault="00E9795D" w:rsidP="00FA3DEB">
              <w:pPr>
                <w:pStyle w:val="Corpsdetexte"/>
                <w:tabs>
                  <w:tab w:val="left" w:pos="10440"/>
                </w:tabs>
                <w:ind w:right="-11559"/>
                <w:rPr>
                  <w:rFonts w:ascii="Open Sans" w:hAnsi="Open Sans" w:cs="Open Sans"/>
                  <w:b/>
                  <w:bCs/>
                  <w:color w:val="FFFFFF" w:themeColor="background1"/>
                  <w:sz w:val="56"/>
                  <w:szCs w:val="56"/>
                </w:rPr>
              </w:pPr>
              <w:r w:rsidRPr="00F90ED5">
                <w:rPr>
                  <w:rFonts w:ascii="Open Sans" w:hAnsi="Open Sans" w:cs="Open Sans"/>
                  <w:b/>
                  <w:bCs/>
                  <w:color w:val="FFFFFF" w:themeColor="background1"/>
                  <w:sz w:val="56"/>
                  <w:szCs w:val="56"/>
                </w:rPr>
                <w:t>Chapitre 1 : Impôt sur la fortune immobilière</w:t>
              </w:r>
            </w:p>
          </w:sdtContent>
        </w:sdt>
        <w:p w14:paraId="43E30A0D" w14:textId="4351BD1B" w:rsidR="00677448" w:rsidRPr="00F90ED5" w:rsidRDefault="00677448" w:rsidP="00E72F4C">
          <w:pPr>
            <w:ind w:right="-10440"/>
            <w:rPr>
              <w:lang w:eastAsia="fr-FR"/>
            </w:rPr>
          </w:pPr>
          <w:r w:rsidRPr="00F90ED5">
            <w:rPr>
              <w:b/>
              <w:bCs/>
              <w:lang w:eastAsia="fr-FR"/>
            </w:rPr>
            <w:br w:type="page"/>
          </w:r>
        </w:p>
      </w:sdtContent>
    </w:sdt>
    <w:sdt>
      <w:sdtPr>
        <w:id w:val="-308484914"/>
        <w:docPartObj>
          <w:docPartGallery w:val="Table of Contents"/>
          <w:docPartUnique/>
        </w:docPartObj>
      </w:sdtPr>
      <w:sdtEndPr>
        <w:rPr>
          <w:b/>
          <w:bCs/>
        </w:rPr>
      </w:sdtEndPr>
      <w:sdtContent>
        <w:p w14:paraId="33B661DD" w14:textId="2FFF904C" w:rsidR="00B8067C" w:rsidRPr="00F90ED5" w:rsidRDefault="00B8067C" w:rsidP="00B8067C">
          <w:r w:rsidRPr="00F90ED5">
            <w:t>Table des matières</w:t>
          </w:r>
        </w:p>
        <w:p w14:paraId="44735DF9" w14:textId="5CC9E414" w:rsidR="0050543B" w:rsidRPr="00F90ED5" w:rsidRDefault="00E40861">
          <w:pPr>
            <w:pStyle w:val="TM2"/>
            <w:tabs>
              <w:tab w:val="left" w:pos="720"/>
              <w:tab w:val="right" w:leader="dot" w:pos="10095"/>
            </w:tabs>
            <w:rPr>
              <w:rFonts w:asciiTheme="minorHAnsi" w:eastAsiaTheme="minorEastAsia" w:hAnsiTheme="minorHAnsi"/>
              <w:kern w:val="2"/>
              <w:szCs w:val="24"/>
              <w14:ligatures w14:val="standardContextual"/>
            </w:rPr>
          </w:pPr>
          <w:r w:rsidRPr="00F90ED5">
            <w:fldChar w:fldCharType="begin"/>
          </w:r>
          <w:r w:rsidRPr="00F90ED5">
            <w:instrText xml:space="preserve"> TOC \o "1-4" \h \z \u </w:instrText>
          </w:r>
          <w:r w:rsidRPr="00F90ED5">
            <w:fldChar w:fldCharType="separate"/>
          </w:r>
          <w:hyperlink w:anchor="_Toc172550900" w:history="1">
            <w:r w:rsidR="0050543B" w:rsidRPr="00F90ED5">
              <w:rPr>
                <w:rStyle w:val="Lienhypertexte"/>
              </w:rPr>
              <w:t>I.</w:t>
            </w:r>
            <w:r w:rsidR="0050543B" w:rsidRPr="00F90ED5">
              <w:rPr>
                <w:rFonts w:asciiTheme="minorHAnsi" w:eastAsiaTheme="minorEastAsia" w:hAnsiTheme="minorHAnsi"/>
                <w:kern w:val="2"/>
                <w:szCs w:val="24"/>
                <w14:ligatures w14:val="standardContextual"/>
              </w:rPr>
              <w:tab/>
            </w:r>
            <w:r w:rsidR="0050543B" w:rsidRPr="00F90ED5">
              <w:rPr>
                <w:rStyle w:val="Lienhypertexte"/>
              </w:rPr>
              <w:t>Assiette de l’ifi</w:t>
            </w:r>
            <w:r w:rsidR="0050543B" w:rsidRPr="00F90ED5">
              <w:rPr>
                <w:webHidden/>
              </w:rPr>
              <w:tab/>
            </w:r>
            <w:r w:rsidR="0050543B" w:rsidRPr="00F90ED5">
              <w:rPr>
                <w:webHidden/>
              </w:rPr>
              <w:fldChar w:fldCharType="begin"/>
            </w:r>
            <w:r w:rsidR="0050543B" w:rsidRPr="00F90ED5">
              <w:rPr>
                <w:webHidden/>
              </w:rPr>
              <w:instrText xml:space="preserve"> PAGEREF _Toc172550900 \h </w:instrText>
            </w:r>
            <w:r w:rsidR="0050543B" w:rsidRPr="00F90ED5">
              <w:rPr>
                <w:webHidden/>
              </w:rPr>
            </w:r>
            <w:r w:rsidR="0050543B" w:rsidRPr="00F90ED5">
              <w:rPr>
                <w:webHidden/>
              </w:rPr>
              <w:fldChar w:fldCharType="separate"/>
            </w:r>
            <w:r w:rsidR="0050543B" w:rsidRPr="00F90ED5">
              <w:rPr>
                <w:webHidden/>
              </w:rPr>
              <w:t>1</w:t>
            </w:r>
            <w:r w:rsidR="0050543B" w:rsidRPr="00F90ED5">
              <w:rPr>
                <w:webHidden/>
              </w:rPr>
              <w:fldChar w:fldCharType="end"/>
            </w:r>
          </w:hyperlink>
        </w:p>
        <w:p w14:paraId="18E8DFBE" w14:textId="75B3EE2F" w:rsidR="0050543B" w:rsidRPr="00F90ED5" w:rsidRDefault="0050543B">
          <w:pPr>
            <w:pStyle w:val="TM3"/>
            <w:rPr>
              <w:rFonts w:asciiTheme="minorHAnsi" w:eastAsiaTheme="minorEastAsia" w:hAnsiTheme="minorHAnsi"/>
              <w:kern w:val="2"/>
              <w:szCs w:val="24"/>
              <w14:ligatures w14:val="standardContextual"/>
            </w:rPr>
          </w:pPr>
          <w:hyperlink w:anchor="_Toc172550901" w:history="1">
            <w:r w:rsidRPr="00F90ED5">
              <w:rPr>
                <w:rStyle w:val="Lienhypertexte"/>
              </w:rPr>
              <w:t>1.</w:t>
            </w:r>
            <w:r w:rsidRPr="00F90ED5">
              <w:rPr>
                <w:rFonts w:asciiTheme="minorHAnsi" w:eastAsiaTheme="minorEastAsia" w:hAnsiTheme="minorHAnsi"/>
                <w:kern w:val="2"/>
                <w:szCs w:val="24"/>
                <w14:ligatures w14:val="standardContextual"/>
              </w:rPr>
              <w:tab/>
            </w:r>
            <w:r w:rsidRPr="00F90ED5">
              <w:rPr>
                <w:rStyle w:val="Lienhypertexte"/>
              </w:rPr>
              <w:t>Personnes imposables</w:t>
            </w:r>
            <w:r w:rsidRPr="00F90ED5">
              <w:rPr>
                <w:webHidden/>
              </w:rPr>
              <w:tab/>
            </w:r>
            <w:r w:rsidRPr="00F90ED5">
              <w:rPr>
                <w:webHidden/>
              </w:rPr>
              <w:fldChar w:fldCharType="begin"/>
            </w:r>
            <w:r w:rsidRPr="00F90ED5">
              <w:rPr>
                <w:webHidden/>
              </w:rPr>
              <w:instrText xml:space="preserve"> PAGEREF _Toc172550901 \h </w:instrText>
            </w:r>
            <w:r w:rsidRPr="00F90ED5">
              <w:rPr>
                <w:webHidden/>
              </w:rPr>
            </w:r>
            <w:r w:rsidRPr="00F90ED5">
              <w:rPr>
                <w:webHidden/>
              </w:rPr>
              <w:fldChar w:fldCharType="separate"/>
            </w:r>
            <w:r w:rsidRPr="00F90ED5">
              <w:rPr>
                <w:webHidden/>
              </w:rPr>
              <w:t>1</w:t>
            </w:r>
            <w:r w:rsidRPr="00F90ED5">
              <w:rPr>
                <w:webHidden/>
              </w:rPr>
              <w:fldChar w:fldCharType="end"/>
            </w:r>
          </w:hyperlink>
        </w:p>
        <w:p w14:paraId="38DC3E09" w14:textId="71871BFD"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2" w:history="1">
            <w:r w:rsidRPr="00F90ED5">
              <w:rPr>
                <w:rStyle w:val="Lienhypertexte"/>
              </w:rPr>
              <w:t>A.</w:t>
            </w:r>
            <w:r w:rsidRPr="00F90ED5">
              <w:rPr>
                <w:rFonts w:asciiTheme="minorHAnsi" w:eastAsiaTheme="minorEastAsia" w:hAnsiTheme="minorHAnsi"/>
                <w:kern w:val="2"/>
                <w:szCs w:val="24"/>
                <w14:ligatures w14:val="standardContextual"/>
              </w:rPr>
              <w:tab/>
            </w:r>
            <w:r w:rsidRPr="00F90ED5">
              <w:rPr>
                <w:rStyle w:val="Lienhypertexte"/>
              </w:rPr>
              <w:t>Territorialité</w:t>
            </w:r>
            <w:r w:rsidRPr="00F90ED5">
              <w:rPr>
                <w:webHidden/>
              </w:rPr>
              <w:tab/>
            </w:r>
            <w:r w:rsidRPr="00F90ED5">
              <w:rPr>
                <w:webHidden/>
              </w:rPr>
              <w:fldChar w:fldCharType="begin"/>
            </w:r>
            <w:r w:rsidRPr="00F90ED5">
              <w:rPr>
                <w:webHidden/>
              </w:rPr>
              <w:instrText xml:space="preserve"> PAGEREF _Toc172550902 \h </w:instrText>
            </w:r>
            <w:r w:rsidRPr="00F90ED5">
              <w:rPr>
                <w:webHidden/>
              </w:rPr>
            </w:r>
            <w:r w:rsidRPr="00F90ED5">
              <w:rPr>
                <w:webHidden/>
              </w:rPr>
              <w:fldChar w:fldCharType="separate"/>
            </w:r>
            <w:r w:rsidRPr="00F90ED5">
              <w:rPr>
                <w:webHidden/>
              </w:rPr>
              <w:t>1</w:t>
            </w:r>
            <w:r w:rsidRPr="00F90ED5">
              <w:rPr>
                <w:webHidden/>
              </w:rPr>
              <w:fldChar w:fldCharType="end"/>
            </w:r>
          </w:hyperlink>
        </w:p>
        <w:p w14:paraId="7444BA14" w14:textId="284221F8"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3" w:history="1">
            <w:r w:rsidRPr="00F90ED5">
              <w:rPr>
                <w:rStyle w:val="Lienhypertexte"/>
              </w:rPr>
              <w:t>B.</w:t>
            </w:r>
            <w:r w:rsidRPr="00F90ED5">
              <w:rPr>
                <w:rFonts w:asciiTheme="minorHAnsi" w:eastAsiaTheme="minorEastAsia" w:hAnsiTheme="minorHAnsi"/>
                <w:kern w:val="2"/>
                <w:szCs w:val="24"/>
                <w14:ligatures w14:val="standardContextual"/>
              </w:rPr>
              <w:tab/>
            </w:r>
            <w:r w:rsidRPr="00F90ED5">
              <w:rPr>
                <w:rStyle w:val="Lienhypertexte"/>
              </w:rPr>
              <w:t>Composition du foyer fiscal pour l’ifi</w:t>
            </w:r>
            <w:r w:rsidRPr="00F90ED5">
              <w:rPr>
                <w:webHidden/>
              </w:rPr>
              <w:tab/>
            </w:r>
            <w:r w:rsidRPr="00F90ED5">
              <w:rPr>
                <w:webHidden/>
              </w:rPr>
              <w:fldChar w:fldCharType="begin"/>
            </w:r>
            <w:r w:rsidRPr="00F90ED5">
              <w:rPr>
                <w:webHidden/>
              </w:rPr>
              <w:instrText xml:space="preserve"> PAGEREF _Toc172550903 \h </w:instrText>
            </w:r>
            <w:r w:rsidRPr="00F90ED5">
              <w:rPr>
                <w:webHidden/>
              </w:rPr>
            </w:r>
            <w:r w:rsidRPr="00F90ED5">
              <w:rPr>
                <w:webHidden/>
              </w:rPr>
              <w:fldChar w:fldCharType="separate"/>
            </w:r>
            <w:r w:rsidRPr="00F90ED5">
              <w:rPr>
                <w:webHidden/>
              </w:rPr>
              <w:t>1</w:t>
            </w:r>
            <w:r w:rsidRPr="00F90ED5">
              <w:rPr>
                <w:webHidden/>
              </w:rPr>
              <w:fldChar w:fldCharType="end"/>
            </w:r>
          </w:hyperlink>
        </w:p>
        <w:p w14:paraId="0BA3972A" w14:textId="3217C4D7" w:rsidR="0050543B" w:rsidRPr="00F90ED5" w:rsidRDefault="0050543B">
          <w:pPr>
            <w:pStyle w:val="TM3"/>
            <w:rPr>
              <w:rFonts w:asciiTheme="minorHAnsi" w:eastAsiaTheme="minorEastAsia" w:hAnsiTheme="minorHAnsi"/>
              <w:kern w:val="2"/>
              <w:szCs w:val="24"/>
              <w14:ligatures w14:val="standardContextual"/>
            </w:rPr>
          </w:pPr>
          <w:hyperlink w:anchor="_Toc172550904" w:history="1">
            <w:r w:rsidRPr="00F90ED5">
              <w:rPr>
                <w:rStyle w:val="Lienhypertexte"/>
              </w:rPr>
              <w:t>2.</w:t>
            </w:r>
            <w:r w:rsidRPr="00F90ED5">
              <w:rPr>
                <w:rFonts w:asciiTheme="minorHAnsi" w:eastAsiaTheme="minorEastAsia" w:hAnsiTheme="minorHAnsi"/>
                <w:kern w:val="2"/>
                <w:szCs w:val="24"/>
                <w14:ligatures w14:val="standardContextual"/>
              </w:rPr>
              <w:tab/>
            </w:r>
            <w:r w:rsidRPr="00F90ED5">
              <w:rPr>
                <w:rStyle w:val="Lienhypertexte"/>
              </w:rPr>
              <w:t>Les actifs imposables</w:t>
            </w:r>
            <w:r w:rsidRPr="00F90ED5">
              <w:rPr>
                <w:webHidden/>
              </w:rPr>
              <w:tab/>
            </w:r>
            <w:r w:rsidRPr="00F90ED5">
              <w:rPr>
                <w:webHidden/>
              </w:rPr>
              <w:fldChar w:fldCharType="begin"/>
            </w:r>
            <w:r w:rsidRPr="00F90ED5">
              <w:rPr>
                <w:webHidden/>
              </w:rPr>
              <w:instrText xml:space="preserve"> PAGEREF _Toc172550904 \h </w:instrText>
            </w:r>
            <w:r w:rsidRPr="00F90ED5">
              <w:rPr>
                <w:webHidden/>
              </w:rPr>
            </w:r>
            <w:r w:rsidRPr="00F90ED5">
              <w:rPr>
                <w:webHidden/>
              </w:rPr>
              <w:fldChar w:fldCharType="separate"/>
            </w:r>
            <w:r w:rsidRPr="00F90ED5">
              <w:rPr>
                <w:webHidden/>
              </w:rPr>
              <w:t>2</w:t>
            </w:r>
            <w:r w:rsidRPr="00F90ED5">
              <w:rPr>
                <w:webHidden/>
              </w:rPr>
              <w:fldChar w:fldCharType="end"/>
            </w:r>
          </w:hyperlink>
        </w:p>
        <w:p w14:paraId="1DEAF084" w14:textId="78BF9D47"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5" w:history="1">
            <w:r w:rsidRPr="00F90ED5">
              <w:rPr>
                <w:rStyle w:val="Lienhypertexte"/>
              </w:rPr>
              <w:t>A.</w:t>
            </w:r>
            <w:r w:rsidRPr="00F90ED5">
              <w:rPr>
                <w:rFonts w:asciiTheme="minorHAnsi" w:eastAsiaTheme="minorEastAsia" w:hAnsiTheme="minorHAnsi"/>
                <w:kern w:val="2"/>
                <w:szCs w:val="24"/>
                <w14:ligatures w14:val="standardContextual"/>
              </w:rPr>
              <w:tab/>
            </w:r>
            <w:r w:rsidRPr="00F90ED5">
              <w:rPr>
                <w:rStyle w:val="Lienhypertexte"/>
              </w:rPr>
              <w:t>Les biens et droits immobiliers entrant dans l’assiette de l’IFI</w:t>
            </w:r>
            <w:r w:rsidRPr="00F90ED5">
              <w:rPr>
                <w:webHidden/>
              </w:rPr>
              <w:tab/>
            </w:r>
            <w:r w:rsidRPr="00F90ED5">
              <w:rPr>
                <w:webHidden/>
              </w:rPr>
              <w:fldChar w:fldCharType="begin"/>
            </w:r>
            <w:r w:rsidRPr="00F90ED5">
              <w:rPr>
                <w:webHidden/>
              </w:rPr>
              <w:instrText xml:space="preserve"> PAGEREF _Toc172550905 \h </w:instrText>
            </w:r>
            <w:r w:rsidRPr="00F90ED5">
              <w:rPr>
                <w:webHidden/>
              </w:rPr>
            </w:r>
            <w:r w:rsidRPr="00F90ED5">
              <w:rPr>
                <w:webHidden/>
              </w:rPr>
              <w:fldChar w:fldCharType="separate"/>
            </w:r>
            <w:r w:rsidRPr="00F90ED5">
              <w:rPr>
                <w:webHidden/>
              </w:rPr>
              <w:t>2</w:t>
            </w:r>
            <w:r w:rsidRPr="00F90ED5">
              <w:rPr>
                <w:webHidden/>
              </w:rPr>
              <w:fldChar w:fldCharType="end"/>
            </w:r>
          </w:hyperlink>
        </w:p>
        <w:p w14:paraId="5919ABA7" w14:textId="45DB3FCF"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6" w:history="1">
            <w:r w:rsidRPr="00F90ED5">
              <w:rPr>
                <w:rStyle w:val="Lienhypertexte"/>
              </w:rPr>
              <w:t>B.</w:t>
            </w:r>
            <w:r w:rsidRPr="00F90ED5">
              <w:rPr>
                <w:rFonts w:asciiTheme="minorHAnsi" w:eastAsiaTheme="minorEastAsia" w:hAnsiTheme="minorHAnsi"/>
                <w:kern w:val="2"/>
                <w:szCs w:val="24"/>
                <w14:ligatures w14:val="standardContextual"/>
              </w:rPr>
              <w:tab/>
            </w:r>
            <w:r w:rsidRPr="00F90ED5">
              <w:rPr>
                <w:rStyle w:val="Lienhypertexte"/>
              </w:rPr>
              <w:t>Les biens détenus en démembrement</w:t>
            </w:r>
            <w:r w:rsidRPr="00F90ED5">
              <w:rPr>
                <w:webHidden/>
              </w:rPr>
              <w:tab/>
            </w:r>
            <w:r w:rsidRPr="00F90ED5">
              <w:rPr>
                <w:webHidden/>
              </w:rPr>
              <w:fldChar w:fldCharType="begin"/>
            </w:r>
            <w:r w:rsidRPr="00F90ED5">
              <w:rPr>
                <w:webHidden/>
              </w:rPr>
              <w:instrText xml:space="preserve"> PAGEREF _Toc172550906 \h </w:instrText>
            </w:r>
            <w:r w:rsidRPr="00F90ED5">
              <w:rPr>
                <w:webHidden/>
              </w:rPr>
            </w:r>
            <w:r w:rsidRPr="00F90ED5">
              <w:rPr>
                <w:webHidden/>
              </w:rPr>
              <w:fldChar w:fldCharType="separate"/>
            </w:r>
            <w:r w:rsidRPr="00F90ED5">
              <w:rPr>
                <w:webHidden/>
              </w:rPr>
              <w:t>3</w:t>
            </w:r>
            <w:r w:rsidRPr="00F90ED5">
              <w:rPr>
                <w:webHidden/>
              </w:rPr>
              <w:fldChar w:fldCharType="end"/>
            </w:r>
          </w:hyperlink>
        </w:p>
        <w:p w14:paraId="48DB0C3F" w14:textId="453D879F"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7" w:history="1">
            <w:r w:rsidRPr="00F90ED5">
              <w:rPr>
                <w:rStyle w:val="Lienhypertexte"/>
              </w:rPr>
              <w:t>C.</w:t>
            </w:r>
            <w:r w:rsidRPr="00F90ED5">
              <w:rPr>
                <w:rFonts w:asciiTheme="minorHAnsi" w:eastAsiaTheme="minorEastAsia" w:hAnsiTheme="minorHAnsi"/>
                <w:kern w:val="2"/>
                <w:szCs w:val="24"/>
                <w14:ligatures w14:val="standardContextual"/>
              </w:rPr>
              <w:tab/>
            </w:r>
            <w:r w:rsidRPr="00F90ED5">
              <w:rPr>
                <w:rStyle w:val="Lienhypertexte"/>
              </w:rPr>
              <w:t>Pour les démembrements d’origine successorale :</w:t>
            </w:r>
            <w:r w:rsidRPr="00F90ED5">
              <w:rPr>
                <w:webHidden/>
              </w:rPr>
              <w:tab/>
            </w:r>
            <w:r w:rsidRPr="00F90ED5">
              <w:rPr>
                <w:webHidden/>
              </w:rPr>
              <w:fldChar w:fldCharType="begin"/>
            </w:r>
            <w:r w:rsidRPr="00F90ED5">
              <w:rPr>
                <w:webHidden/>
              </w:rPr>
              <w:instrText xml:space="preserve"> PAGEREF _Toc172550907 \h </w:instrText>
            </w:r>
            <w:r w:rsidRPr="00F90ED5">
              <w:rPr>
                <w:webHidden/>
              </w:rPr>
            </w:r>
            <w:r w:rsidRPr="00F90ED5">
              <w:rPr>
                <w:webHidden/>
              </w:rPr>
              <w:fldChar w:fldCharType="separate"/>
            </w:r>
            <w:r w:rsidRPr="00F90ED5">
              <w:rPr>
                <w:webHidden/>
              </w:rPr>
              <w:t>3</w:t>
            </w:r>
            <w:r w:rsidRPr="00F90ED5">
              <w:rPr>
                <w:webHidden/>
              </w:rPr>
              <w:fldChar w:fldCharType="end"/>
            </w:r>
          </w:hyperlink>
        </w:p>
        <w:p w14:paraId="167199EA" w14:textId="7DE5A546"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8" w:history="1">
            <w:r w:rsidRPr="00F90ED5">
              <w:rPr>
                <w:rStyle w:val="Lienhypertexte"/>
              </w:rPr>
              <w:t>D.</w:t>
            </w:r>
            <w:r w:rsidRPr="00F90ED5">
              <w:rPr>
                <w:rFonts w:asciiTheme="minorHAnsi" w:eastAsiaTheme="minorEastAsia" w:hAnsiTheme="minorHAnsi"/>
                <w:kern w:val="2"/>
                <w:szCs w:val="24"/>
                <w14:ligatures w14:val="standardContextual"/>
              </w:rPr>
              <w:tab/>
            </w:r>
            <w:r w:rsidRPr="00F90ED5">
              <w:rPr>
                <w:rStyle w:val="Lienhypertexte"/>
              </w:rPr>
              <w:t>Pour les démembrements résultants de la vente de la nue-propriété</w:t>
            </w:r>
            <w:r w:rsidRPr="00F90ED5">
              <w:rPr>
                <w:webHidden/>
              </w:rPr>
              <w:tab/>
            </w:r>
            <w:r w:rsidRPr="00F90ED5">
              <w:rPr>
                <w:webHidden/>
              </w:rPr>
              <w:fldChar w:fldCharType="begin"/>
            </w:r>
            <w:r w:rsidRPr="00F90ED5">
              <w:rPr>
                <w:webHidden/>
              </w:rPr>
              <w:instrText xml:space="preserve"> PAGEREF _Toc172550908 \h </w:instrText>
            </w:r>
            <w:r w:rsidRPr="00F90ED5">
              <w:rPr>
                <w:webHidden/>
              </w:rPr>
            </w:r>
            <w:r w:rsidRPr="00F90ED5">
              <w:rPr>
                <w:webHidden/>
              </w:rPr>
              <w:fldChar w:fldCharType="separate"/>
            </w:r>
            <w:r w:rsidRPr="00F90ED5">
              <w:rPr>
                <w:webHidden/>
              </w:rPr>
              <w:t>4</w:t>
            </w:r>
            <w:r w:rsidRPr="00F90ED5">
              <w:rPr>
                <w:webHidden/>
              </w:rPr>
              <w:fldChar w:fldCharType="end"/>
            </w:r>
          </w:hyperlink>
        </w:p>
        <w:p w14:paraId="1F2A755C" w14:textId="1E804A65"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09" w:history="1">
            <w:r w:rsidRPr="00F90ED5">
              <w:rPr>
                <w:rStyle w:val="Lienhypertexte"/>
              </w:rPr>
              <w:t>E.</w:t>
            </w:r>
            <w:r w:rsidRPr="00F90ED5">
              <w:rPr>
                <w:rFonts w:asciiTheme="minorHAnsi" w:eastAsiaTheme="minorEastAsia" w:hAnsiTheme="minorHAnsi"/>
                <w:kern w:val="2"/>
                <w:szCs w:val="24"/>
                <w14:ligatures w14:val="standardContextual"/>
              </w:rPr>
              <w:tab/>
            </w:r>
            <w:r w:rsidRPr="00F90ED5">
              <w:rPr>
                <w:rStyle w:val="Lienhypertexte"/>
              </w:rPr>
              <w:t>Les titres de sociétés immobilières entrant dans l’assiette de l’IFI</w:t>
            </w:r>
            <w:r w:rsidRPr="00F90ED5">
              <w:rPr>
                <w:webHidden/>
              </w:rPr>
              <w:tab/>
            </w:r>
            <w:r w:rsidRPr="00F90ED5">
              <w:rPr>
                <w:webHidden/>
              </w:rPr>
              <w:fldChar w:fldCharType="begin"/>
            </w:r>
            <w:r w:rsidRPr="00F90ED5">
              <w:rPr>
                <w:webHidden/>
              </w:rPr>
              <w:instrText xml:space="preserve"> PAGEREF _Toc172550909 \h </w:instrText>
            </w:r>
            <w:r w:rsidRPr="00F90ED5">
              <w:rPr>
                <w:webHidden/>
              </w:rPr>
            </w:r>
            <w:r w:rsidRPr="00F90ED5">
              <w:rPr>
                <w:webHidden/>
              </w:rPr>
              <w:fldChar w:fldCharType="separate"/>
            </w:r>
            <w:r w:rsidRPr="00F90ED5">
              <w:rPr>
                <w:webHidden/>
              </w:rPr>
              <w:t>4</w:t>
            </w:r>
            <w:r w:rsidRPr="00F90ED5">
              <w:rPr>
                <w:webHidden/>
              </w:rPr>
              <w:fldChar w:fldCharType="end"/>
            </w:r>
          </w:hyperlink>
        </w:p>
        <w:p w14:paraId="3AE50B9C" w14:textId="2E51EA36"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0" w:history="1">
            <w:r w:rsidRPr="00F90ED5">
              <w:rPr>
                <w:rStyle w:val="Lienhypertexte"/>
              </w:rPr>
              <w:t>F.</w:t>
            </w:r>
            <w:r w:rsidRPr="00F90ED5">
              <w:rPr>
                <w:rFonts w:asciiTheme="minorHAnsi" w:eastAsiaTheme="minorEastAsia" w:hAnsiTheme="minorHAnsi"/>
                <w:kern w:val="2"/>
                <w:szCs w:val="24"/>
                <w14:ligatures w14:val="standardContextual"/>
              </w:rPr>
              <w:tab/>
            </w:r>
            <w:r w:rsidRPr="00F90ED5">
              <w:rPr>
                <w:rStyle w:val="Lienhypertexte"/>
              </w:rPr>
              <w:t>L’Immobilier logé dans un contrat d’assurance vie</w:t>
            </w:r>
            <w:r w:rsidRPr="00F90ED5">
              <w:rPr>
                <w:webHidden/>
              </w:rPr>
              <w:tab/>
            </w:r>
            <w:r w:rsidRPr="00F90ED5">
              <w:rPr>
                <w:webHidden/>
              </w:rPr>
              <w:fldChar w:fldCharType="begin"/>
            </w:r>
            <w:r w:rsidRPr="00F90ED5">
              <w:rPr>
                <w:webHidden/>
              </w:rPr>
              <w:instrText xml:space="preserve"> PAGEREF _Toc172550910 \h </w:instrText>
            </w:r>
            <w:r w:rsidRPr="00F90ED5">
              <w:rPr>
                <w:webHidden/>
              </w:rPr>
            </w:r>
            <w:r w:rsidRPr="00F90ED5">
              <w:rPr>
                <w:webHidden/>
              </w:rPr>
              <w:fldChar w:fldCharType="separate"/>
            </w:r>
            <w:r w:rsidRPr="00F90ED5">
              <w:rPr>
                <w:webHidden/>
              </w:rPr>
              <w:t>4</w:t>
            </w:r>
            <w:r w:rsidRPr="00F90ED5">
              <w:rPr>
                <w:webHidden/>
              </w:rPr>
              <w:fldChar w:fldCharType="end"/>
            </w:r>
          </w:hyperlink>
        </w:p>
        <w:p w14:paraId="7FFB3A8E" w14:textId="1BFD2065" w:rsidR="0050543B" w:rsidRPr="00F90ED5" w:rsidRDefault="0050543B">
          <w:pPr>
            <w:pStyle w:val="TM2"/>
            <w:tabs>
              <w:tab w:val="left" w:pos="720"/>
              <w:tab w:val="right" w:leader="dot" w:pos="10095"/>
            </w:tabs>
            <w:rPr>
              <w:rFonts w:asciiTheme="minorHAnsi" w:eastAsiaTheme="minorEastAsia" w:hAnsiTheme="minorHAnsi"/>
              <w:kern w:val="2"/>
              <w:szCs w:val="24"/>
              <w14:ligatures w14:val="standardContextual"/>
            </w:rPr>
          </w:pPr>
          <w:hyperlink w:anchor="_Toc172550911" w:history="1">
            <w:r w:rsidRPr="00F90ED5">
              <w:rPr>
                <w:rStyle w:val="Lienhypertexte"/>
              </w:rPr>
              <w:t>II.</w:t>
            </w:r>
            <w:r w:rsidRPr="00F90ED5">
              <w:rPr>
                <w:rFonts w:asciiTheme="minorHAnsi" w:eastAsiaTheme="minorEastAsia" w:hAnsiTheme="minorHAnsi"/>
                <w:kern w:val="2"/>
                <w:szCs w:val="24"/>
                <w14:ligatures w14:val="standardContextual"/>
              </w:rPr>
              <w:tab/>
            </w:r>
            <w:r w:rsidRPr="00F90ED5">
              <w:rPr>
                <w:rStyle w:val="Lienhypertexte"/>
              </w:rPr>
              <w:t>Les régimes spéciaux</w:t>
            </w:r>
            <w:r w:rsidRPr="00F90ED5">
              <w:rPr>
                <w:webHidden/>
              </w:rPr>
              <w:tab/>
            </w:r>
            <w:r w:rsidRPr="00F90ED5">
              <w:rPr>
                <w:webHidden/>
              </w:rPr>
              <w:fldChar w:fldCharType="begin"/>
            </w:r>
            <w:r w:rsidRPr="00F90ED5">
              <w:rPr>
                <w:webHidden/>
              </w:rPr>
              <w:instrText xml:space="preserve"> PAGEREF _Toc172550911 \h </w:instrText>
            </w:r>
            <w:r w:rsidRPr="00F90ED5">
              <w:rPr>
                <w:webHidden/>
              </w:rPr>
            </w:r>
            <w:r w:rsidRPr="00F90ED5">
              <w:rPr>
                <w:webHidden/>
              </w:rPr>
              <w:fldChar w:fldCharType="separate"/>
            </w:r>
            <w:r w:rsidRPr="00F90ED5">
              <w:rPr>
                <w:webHidden/>
              </w:rPr>
              <w:t>5</w:t>
            </w:r>
            <w:r w:rsidRPr="00F90ED5">
              <w:rPr>
                <w:webHidden/>
              </w:rPr>
              <w:fldChar w:fldCharType="end"/>
            </w:r>
          </w:hyperlink>
        </w:p>
        <w:p w14:paraId="64026673" w14:textId="6C0762C2" w:rsidR="0050543B" w:rsidRPr="00F90ED5" w:rsidRDefault="0050543B">
          <w:pPr>
            <w:pStyle w:val="TM3"/>
            <w:rPr>
              <w:rFonts w:asciiTheme="minorHAnsi" w:eastAsiaTheme="minorEastAsia" w:hAnsiTheme="minorHAnsi"/>
              <w:kern w:val="2"/>
              <w:szCs w:val="24"/>
              <w14:ligatures w14:val="standardContextual"/>
            </w:rPr>
          </w:pPr>
          <w:hyperlink w:anchor="_Toc172550912" w:history="1">
            <w:r w:rsidRPr="00F90ED5">
              <w:rPr>
                <w:rStyle w:val="Lienhypertexte"/>
              </w:rPr>
              <w:t>1.</w:t>
            </w:r>
            <w:r w:rsidRPr="00F90ED5">
              <w:rPr>
                <w:rFonts w:asciiTheme="minorHAnsi" w:eastAsiaTheme="minorEastAsia" w:hAnsiTheme="minorHAnsi"/>
                <w:kern w:val="2"/>
                <w:szCs w:val="24"/>
                <w14:ligatures w14:val="standardContextual"/>
              </w:rPr>
              <w:tab/>
            </w:r>
            <w:r w:rsidRPr="00F90ED5">
              <w:rPr>
                <w:rStyle w:val="Lienhypertexte"/>
              </w:rPr>
              <w:t>Les biens professionnels exclus du champ de l’ifi</w:t>
            </w:r>
            <w:r w:rsidRPr="00F90ED5">
              <w:rPr>
                <w:webHidden/>
              </w:rPr>
              <w:tab/>
            </w:r>
            <w:r w:rsidRPr="00F90ED5">
              <w:rPr>
                <w:webHidden/>
              </w:rPr>
              <w:fldChar w:fldCharType="begin"/>
            </w:r>
            <w:r w:rsidRPr="00F90ED5">
              <w:rPr>
                <w:webHidden/>
              </w:rPr>
              <w:instrText xml:space="preserve"> PAGEREF _Toc172550912 \h </w:instrText>
            </w:r>
            <w:r w:rsidRPr="00F90ED5">
              <w:rPr>
                <w:webHidden/>
              </w:rPr>
            </w:r>
            <w:r w:rsidRPr="00F90ED5">
              <w:rPr>
                <w:webHidden/>
              </w:rPr>
              <w:fldChar w:fldCharType="separate"/>
            </w:r>
            <w:r w:rsidRPr="00F90ED5">
              <w:rPr>
                <w:webHidden/>
              </w:rPr>
              <w:t>5</w:t>
            </w:r>
            <w:r w:rsidRPr="00F90ED5">
              <w:rPr>
                <w:webHidden/>
              </w:rPr>
              <w:fldChar w:fldCharType="end"/>
            </w:r>
          </w:hyperlink>
        </w:p>
        <w:p w14:paraId="4B213633" w14:textId="2C8D0624"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3" w:history="1">
            <w:r w:rsidRPr="00F90ED5">
              <w:rPr>
                <w:rStyle w:val="Lienhypertexte"/>
              </w:rPr>
              <w:t>A.</w:t>
            </w:r>
            <w:r w:rsidRPr="00F90ED5">
              <w:rPr>
                <w:rFonts w:asciiTheme="minorHAnsi" w:eastAsiaTheme="minorEastAsia" w:hAnsiTheme="minorHAnsi"/>
                <w:kern w:val="2"/>
                <w:szCs w:val="24"/>
                <w14:ligatures w14:val="standardContextual"/>
              </w:rPr>
              <w:tab/>
            </w:r>
            <w:r w:rsidRPr="00F90ED5">
              <w:rPr>
                <w:rStyle w:val="Lienhypertexte"/>
              </w:rPr>
              <w:t>Pour les immeubles affectés à une exploitation individuelle</w:t>
            </w:r>
            <w:r w:rsidRPr="00F90ED5">
              <w:rPr>
                <w:webHidden/>
              </w:rPr>
              <w:tab/>
            </w:r>
            <w:r w:rsidRPr="00F90ED5">
              <w:rPr>
                <w:webHidden/>
              </w:rPr>
              <w:fldChar w:fldCharType="begin"/>
            </w:r>
            <w:r w:rsidRPr="00F90ED5">
              <w:rPr>
                <w:webHidden/>
              </w:rPr>
              <w:instrText xml:space="preserve"> PAGEREF _Toc172550913 \h </w:instrText>
            </w:r>
            <w:r w:rsidRPr="00F90ED5">
              <w:rPr>
                <w:webHidden/>
              </w:rPr>
            </w:r>
            <w:r w:rsidRPr="00F90ED5">
              <w:rPr>
                <w:webHidden/>
              </w:rPr>
              <w:fldChar w:fldCharType="separate"/>
            </w:r>
            <w:r w:rsidRPr="00F90ED5">
              <w:rPr>
                <w:webHidden/>
              </w:rPr>
              <w:t>5</w:t>
            </w:r>
            <w:r w:rsidRPr="00F90ED5">
              <w:rPr>
                <w:webHidden/>
              </w:rPr>
              <w:fldChar w:fldCharType="end"/>
            </w:r>
          </w:hyperlink>
        </w:p>
        <w:p w14:paraId="542915FF" w14:textId="3CFFDC0E"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4" w:history="1">
            <w:r w:rsidRPr="00F90ED5">
              <w:rPr>
                <w:rStyle w:val="Lienhypertexte"/>
              </w:rPr>
              <w:t>B.</w:t>
            </w:r>
            <w:r w:rsidRPr="00F90ED5">
              <w:rPr>
                <w:rFonts w:asciiTheme="minorHAnsi" w:eastAsiaTheme="minorEastAsia" w:hAnsiTheme="minorHAnsi"/>
                <w:kern w:val="2"/>
                <w:szCs w:val="24"/>
                <w14:ligatures w14:val="standardContextual"/>
              </w:rPr>
              <w:tab/>
            </w:r>
            <w:r w:rsidRPr="00F90ED5">
              <w:rPr>
                <w:rStyle w:val="Lienhypertexte"/>
              </w:rPr>
              <w:t>Pour les immeubles affectés à l’activité d’une société</w:t>
            </w:r>
            <w:r w:rsidRPr="00F90ED5">
              <w:rPr>
                <w:webHidden/>
              </w:rPr>
              <w:tab/>
            </w:r>
            <w:r w:rsidRPr="00F90ED5">
              <w:rPr>
                <w:webHidden/>
              </w:rPr>
              <w:fldChar w:fldCharType="begin"/>
            </w:r>
            <w:r w:rsidRPr="00F90ED5">
              <w:rPr>
                <w:webHidden/>
              </w:rPr>
              <w:instrText xml:space="preserve"> PAGEREF _Toc172550914 \h </w:instrText>
            </w:r>
            <w:r w:rsidRPr="00F90ED5">
              <w:rPr>
                <w:webHidden/>
              </w:rPr>
            </w:r>
            <w:r w:rsidRPr="00F90ED5">
              <w:rPr>
                <w:webHidden/>
              </w:rPr>
              <w:fldChar w:fldCharType="separate"/>
            </w:r>
            <w:r w:rsidRPr="00F90ED5">
              <w:rPr>
                <w:webHidden/>
              </w:rPr>
              <w:t>5</w:t>
            </w:r>
            <w:r w:rsidRPr="00F90ED5">
              <w:rPr>
                <w:webHidden/>
              </w:rPr>
              <w:fldChar w:fldCharType="end"/>
            </w:r>
          </w:hyperlink>
        </w:p>
        <w:p w14:paraId="473DBED0" w14:textId="74E5B341"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5" w:history="1">
            <w:r w:rsidRPr="00F90ED5">
              <w:rPr>
                <w:rStyle w:val="Lienhypertexte"/>
              </w:rPr>
              <w:t>C.</w:t>
            </w:r>
            <w:r w:rsidRPr="00F90ED5">
              <w:rPr>
                <w:rFonts w:asciiTheme="minorHAnsi" w:eastAsiaTheme="minorEastAsia" w:hAnsiTheme="minorHAnsi"/>
                <w:kern w:val="2"/>
                <w:szCs w:val="24"/>
                <w14:ligatures w14:val="standardContextual"/>
              </w:rPr>
              <w:tab/>
            </w:r>
            <w:r w:rsidRPr="00F90ED5">
              <w:rPr>
                <w:rStyle w:val="Lienhypertexte"/>
              </w:rPr>
              <w:t>Pour les dirigeants d’une société soumis à l’IS</w:t>
            </w:r>
            <w:r w:rsidRPr="00F90ED5">
              <w:rPr>
                <w:webHidden/>
              </w:rPr>
              <w:tab/>
            </w:r>
            <w:r w:rsidRPr="00F90ED5">
              <w:rPr>
                <w:webHidden/>
              </w:rPr>
              <w:fldChar w:fldCharType="begin"/>
            </w:r>
            <w:r w:rsidRPr="00F90ED5">
              <w:rPr>
                <w:webHidden/>
              </w:rPr>
              <w:instrText xml:space="preserve"> PAGEREF _Toc172550915 \h </w:instrText>
            </w:r>
            <w:r w:rsidRPr="00F90ED5">
              <w:rPr>
                <w:webHidden/>
              </w:rPr>
            </w:r>
            <w:r w:rsidRPr="00F90ED5">
              <w:rPr>
                <w:webHidden/>
              </w:rPr>
              <w:fldChar w:fldCharType="separate"/>
            </w:r>
            <w:r w:rsidRPr="00F90ED5">
              <w:rPr>
                <w:webHidden/>
              </w:rPr>
              <w:t>5</w:t>
            </w:r>
            <w:r w:rsidRPr="00F90ED5">
              <w:rPr>
                <w:webHidden/>
              </w:rPr>
              <w:fldChar w:fldCharType="end"/>
            </w:r>
          </w:hyperlink>
        </w:p>
        <w:p w14:paraId="26CE0FF9" w14:textId="075D577E"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6" w:history="1">
            <w:r w:rsidRPr="00F90ED5">
              <w:rPr>
                <w:rStyle w:val="Lienhypertexte"/>
              </w:rPr>
              <w:t>D.</w:t>
            </w:r>
            <w:r w:rsidRPr="00F90ED5">
              <w:rPr>
                <w:rFonts w:asciiTheme="minorHAnsi" w:eastAsiaTheme="minorEastAsia" w:hAnsiTheme="minorHAnsi"/>
                <w:kern w:val="2"/>
                <w:szCs w:val="24"/>
                <w14:ligatures w14:val="standardContextual"/>
              </w:rPr>
              <w:tab/>
            </w:r>
            <w:r w:rsidRPr="00F90ED5">
              <w:rPr>
                <w:rStyle w:val="Lienhypertexte"/>
              </w:rPr>
              <w:t>Évaluation des titres représentatifs d’immeubles</w:t>
            </w:r>
            <w:r w:rsidRPr="00F90ED5">
              <w:rPr>
                <w:webHidden/>
              </w:rPr>
              <w:tab/>
            </w:r>
            <w:r w:rsidRPr="00F90ED5">
              <w:rPr>
                <w:webHidden/>
              </w:rPr>
              <w:fldChar w:fldCharType="begin"/>
            </w:r>
            <w:r w:rsidRPr="00F90ED5">
              <w:rPr>
                <w:webHidden/>
              </w:rPr>
              <w:instrText xml:space="preserve"> PAGEREF _Toc172550916 \h </w:instrText>
            </w:r>
            <w:r w:rsidRPr="00F90ED5">
              <w:rPr>
                <w:webHidden/>
              </w:rPr>
            </w:r>
            <w:r w:rsidRPr="00F90ED5">
              <w:rPr>
                <w:webHidden/>
              </w:rPr>
              <w:fldChar w:fldCharType="separate"/>
            </w:r>
            <w:r w:rsidRPr="00F90ED5">
              <w:rPr>
                <w:webHidden/>
              </w:rPr>
              <w:t>6</w:t>
            </w:r>
            <w:r w:rsidRPr="00F90ED5">
              <w:rPr>
                <w:webHidden/>
              </w:rPr>
              <w:fldChar w:fldCharType="end"/>
            </w:r>
          </w:hyperlink>
        </w:p>
        <w:p w14:paraId="4A479833" w14:textId="5D1C5DA8"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7" w:history="1">
            <w:r w:rsidRPr="00F90ED5">
              <w:rPr>
                <w:rStyle w:val="Lienhypertexte"/>
              </w:rPr>
              <w:t>E.</w:t>
            </w:r>
            <w:r w:rsidRPr="00F90ED5">
              <w:rPr>
                <w:rFonts w:asciiTheme="minorHAnsi" w:eastAsiaTheme="minorEastAsia" w:hAnsiTheme="minorHAnsi"/>
                <w:kern w:val="2"/>
                <w:szCs w:val="24"/>
                <w14:ligatures w14:val="standardContextual"/>
              </w:rPr>
              <w:tab/>
            </w:r>
            <w:r w:rsidRPr="00F90ED5">
              <w:rPr>
                <w:rStyle w:val="Lienhypertexte"/>
              </w:rPr>
              <w:t>Pour les immeubles affectés à l’activité de loueur en meublé</w:t>
            </w:r>
            <w:r w:rsidRPr="00F90ED5">
              <w:rPr>
                <w:webHidden/>
              </w:rPr>
              <w:tab/>
            </w:r>
            <w:r w:rsidRPr="00F90ED5">
              <w:rPr>
                <w:webHidden/>
              </w:rPr>
              <w:fldChar w:fldCharType="begin"/>
            </w:r>
            <w:r w:rsidRPr="00F90ED5">
              <w:rPr>
                <w:webHidden/>
              </w:rPr>
              <w:instrText xml:space="preserve"> PAGEREF _Toc172550917 \h </w:instrText>
            </w:r>
            <w:r w:rsidRPr="00F90ED5">
              <w:rPr>
                <w:webHidden/>
              </w:rPr>
            </w:r>
            <w:r w:rsidRPr="00F90ED5">
              <w:rPr>
                <w:webHidden/>
              </w:rPr>
              <w:fldChar w:fldCharType="separate"/>
            </w:r>
            <w:r w:rsidRPr="00F90ED5">
              <w:rPr>
                <w:webHidden/>
              </w:rPr>
              <w:t>6</w:t>
            </w:r>
            <w:r w:rsidRPr="00F90ED5">
              <w:rPr>
                <w:webHidden/>
              </w:rPr>
              <w:fldChar w:fldCharType="end"/>
            </w:r>
          </w:hyperlink>
        </w:p>
        <w:p w14:paraId="37A6C714" w14:textId="427AB194"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8" w:history="1">
            <w:r w:rsidRPr="00F90ED5">
              <w:rPr>
                <w:rStyle w:val="Lienhypertexte"/>
              </w:rPr>
              <w:t>F.</w:t>
            </w:r>
            <w:r w:rsidRPr="00F90ED5">
              <w:rPr>
                <w:rFonts w:asciiTheme="minorHAnsi" w:eastAsiaTheme="minorEastAsia" w:hAnsiTheme="minorHAnsi"/>
                <w:kern w:val="2"/>
                <w:szCs w:val="24"/>
                <w14:ligatures w14:val="standardContextual"/>
              </w:rPr>
              <w:tab/>
            </w:r>
            <w:r w:rsidRPr="00F90ED5">
              <w:rPr>
                <w:rStyle w:val="Lienhypertexte"/>
              </w:rPr>
              <w:t>Pour les biens ruraux et bois et forêts exonérés.</w:t>
            </w:r>
            <w:r w:rsidRPr="00F90ED5">
              <w:rPr>
                <w:webHidden/>
              </w:rPr>
              <w:tab/>
            </w:r>
            <w:r w:rsidRPr="00F90ED5">
              <w:rPr>
                <w:webHidden/>
              </w:rPr>
              <w:fldChar w:fldCharType="begin"/>
            </w:r>
            <w:r w:rsidRPr="00F90ED5">
              <w:rPr>
                <w:webHidden/>
              </w:rPr>
              <w:instrText xml:space="preserve"> PAGEREF _Toc172550918 \h </w:instrText>
            </w:r>
            <w:r w:rsidRPr="00F90ED5">
              <w:rPr>
                <w:webHidden/>
              </w:rPr>
            </w:r>
            <w:r w:rsidRPr="00F90ED5">
              <w:rPr>
                <w:webHidden/>
              </w:rPr>
              <w:fldChar w:fldCharType="separate"/>
            </w:r>
            <w:r w:rsidRPr="00F90ED5">
              <w:rPr>
                <w:webHidden/>
              </w:rPr>
              <w:t>7</w:t>
            </w:r>
            <w:r w:rsidRPr="00F90ED5">
              <w:rPr>
                <w:webHidden/>
              </w:rPr>
              <w:fldChar w:fldCharType="end"/>
            </w:r>
          </w:hyperlink>
        </w:p>
        <w:p w14:paraId="143008FC" w14:textId="0975FEB8"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19" w:history="1">
            <w:r w:rsidRPr="00F90ED5">
              <w:rPr>
                <w:rStyle w:val="Lienhypertexte"/>
              </w:rPr>
              <w:t>G.</w:t>
            </w:r>
            <w:r w:rsidRPr="00F90ED5">
              <w:rPr>
                <w:rFonts w:asciiTheme="minorHAnsi" w:eastAsiaTheme="minorEastAsia" w:hAnsiTheme="minorHAnsi"/>
                <w:kern w:val="2"/>
                <w:szCs w:val="24"/>
                <w14:ligatures w14:val="standardContextual"/>
              </w:rPr>
              <w:tab/>
            </w:r>
            <w:r w:rsidRPr="00F90ED5">
              <w:rPr>
                <w:rStyle w:val="Lienhypertexte"/>
              </w:rPr>
              <w:t>Sont partiellement exonérés d’IFI :</w:t>
            </w:r>
            <w:r w:rsidRPr="00F90ED5">
              <w:rPr>
                <w:webHidden/>
              </w:rPr>
              <w:tab/>
            </w:r>
            <w:r w:rsidRPr="00F90ED5">
              <w:rPr>
                <w:webHidden/>
              </w:rPr>
              <w:fldChar w:fldCharType="begin"/>
            </w:r>
            <w:r w:rsidRPr="00F90ED5">
              <w:rPr>
                <w:webHidden/>
              </w:rPr>
              <w:instrText xml:space="preserve"> PAGEREF _Toc172550919 \h </w:instrText>
            </w:r>
            <w:r w:rsidRPr="00F90ED5">
              <w:rPr>
                <w:webHidden/>
              </w:rPr>
            </w:r>
            <w:r w:rsidRPr="00F90ED5">
              <w:rPr>
                <w:webHidden/>
              </w:rPr>
              <w:fldChar w:fldCharType="separate"/>
            </w:r>
            <w:r w:rsidRPr="00F90ED5">
              <w:rPr>
                <w:webHidden/>
              </w:rPr>
              <w:t>7</w:t>
            </w:r>
            <w:r w:rsidRPr="00F90ED5">
              <w:rPr>
                <w:webHidden/>
              </w:rPr>
              <w:fldChar w:fldCharType="end"/>
            </w:r>
          </w:hyperlink>
        </w:p>
        <w:p w14:paraId="11D5604D" w14:textId="07B1F8C4" w:rsidR="0050543B" w:rsidRPr="00F90ED5" w:rsidRDefault="0050543B">
          <w:pPr>
            <w:pStyle w:val="TM3"/>
            <w:rPr>
              <w:rFonts w:asciiTheme="minorHAnsi" w:eastAsiaTheme="minorEastAsia" w:hAnsiTheme="minorHAnsi"/>
              <w:kern w:val="2"/>
              <w:szCs w:val="24"/>
              <w14:ligatures w14:val="standardContextual"/>
            </w:rPr>
          </w:pPr>
          <w:hyperlink w:anchor="_Toc172550920" w:history="1">
            <w:r w:rsidRPr="00F90ED5">
              <w:rPr>
                <w:rStyle w:val="Lienhypertexte"/>
              </w:rPr>
              <w:t>2.</w:t>
            </w:r>
            <w:r w:rsidRPr="00F90ED5">
              <w:rPr>
                <w:rFonts w:asciiTheme="minorHAnsi" w:eastAsiaTheme="minorEastAsia" w:hAnsiTheme="minorHAnsi"/>
                <w:kern w:val="2"/>
                <w:szCs w:val="24"/>
                <w14:ligatures w14:val="standardContextual"/>
              </w:rPr>
              <w:tab/>
            </w:r>
            <w:r w:rsidRPr="00F90ED5">
              <w:rPr>
                <w:rStyle w:val="Lienhypertexte"/>
              </w:rPr>
              <w:t>Évaluation de l’assiette de l’ifi et passif déductible</w:t>
            </w:r>
            <w:r w:rsidRPr="00F90ED5">
              <w:rPr>
                <w:webHidden/>
              </w:rPr>
              <w:tab/>
            </w:r>
            <w:r w:rsidRPr="00F90ED5">
              <w:rPr>
                <w:webHidden/>
              </w:rPr>
              <w:fldChar w:fldCharType="begin"/>
            </w:r>
            <w:r w:rsidRPr="00F90ED5">
              <w:rPr>
                <w:webHidden/>
              </w:rPr>
              <w:instrText xml:space="preserve"> PAGEREF _Toc172550920 \h </w:instrText>
            </w:r>
            <w:r w:rsidRPr="00F90ED5">
              <w:rPr>
                <w:webHidden/>
              </w:rPr>
            </w:r>
            <w:r w:rsidRPr="00F90ED5">
              <w:rPr>
                <w:webHidden/>
              </w:rPr>
              <w:fldChar w:fldCharType="separate"/>
            </w:r>
            <w:r w:rsidRPr="00F90ED5">
              <w:rPr>
                <w:webHidden/>
              </w:rPr>
              <w:t>7</w:t>
            </w:r>
            <w:r w:rsidRPr="00F90ED5">
              <w:rPr>
                <w:webHidden/>
              </w:rPr>
              <w:fldChar w:fldCharType="end"/>
            </w:r>
          </w:hyperlink>
        </w:p>
        <w:p w14:paraId="41DC18A7" w14:textId="1C6BB719"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1" w:history="1">
            <w:r w:rsidRPr="00F90ED5">
              <w:rPr>
                <w:rStyle w:val="Lienhypertexte"/>
              </w:rPr>
              <w:t>A.</w:t>
            </w:r>
            <w:r w:rsidRPr="00F90ED5">
              <w:rPr>
                <w:rFonts w:asciiTheme="minorHAnsi" w:eastAsiaTheme="minorEastAsia" w:hAnsiTheme="minorHAnsi"/>
                <w:kern w:val="2"/>
                <w:szCs w:val="24"/>
                <w14:ligatures w14:val="standardContextual"/>
              </w:rPr>
              <w:tab/>
            </w:r>
            <w:r w:rsidRPr="00F90ED5">
              <w:rPr>
                <w:rStyle w:val="Lienhypertexte"/>
              </w:rPr>
              <w:t>Évaluation des biens immobiliers</w:t>
            </w:r>
            <w:r w:rsidRPr="00F90ED5">
              <w:rPr>
                <w:webHidden/>
              </w:rPr>
              <w:tab/>
            </w:r>
            <w:r w:rsidRPr="00F90ED5">
              <w:rPr>
                <w:webHidden/>
              </w:rPr>
              <w:fldChar w:fldCharType="begin"/>
            </w:r>
            <w:r w:rsidRPr="00F90ED5">
              <w:rPr>
                <w:webHidden/>
              </w:rPr>
              <w:instrText xml:space="preserve"> PAGEREF _Toc172550921 \h </w:instrText>
            </w:r>
            <w:r w:rsidRPr="00F90ED5">
              <w:rPr>
                <w:webHidden/>
              </w:rPr>
            </w:r>
            <w:r w:rsidRPr="00F90ED5">
              <w:rPr>
                <w:webHidden/>
              </w:rPr>
              <w:fldChar w:fldCharType="separate"/>
            </w:r>
            <w:r w:rsidRPr="00F90ED5">
              <w:rPr>
                <w:webHidden/>
              </w:rPr>
              <w:t>7</w:t>
            </w:r>
            <w:r w:rsidRPr="00F90ED5">
              <w:rPr>
                <w:webHidden/>
              </w:rPr>
              <w:fldChar w:fldCharType="end"/>
            </w:r>
          </w:hyperlink>
        </w:p>
        <w:p w14:paraId="33AA9EBA" w14:textId="3F0A2E70"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2" w:history="1">
            <w:r w:rsidRPr="00F90ED5">
              <w:rPr>
                <w:rStyle w:val="Lienhypertexte"/>
              </w:rPr>
              <w:t>B.</w:t>
            </w:r>
            <w:r w:rsidRPr="00F90ED5">
              <w:rPr>
                <w:rFonts w:asciiTheme="minorHAnsi" w:eastAsiaTheme="minorEastAsia" w:hAnsiTheme="minorHAnsi"/>
                <w:kern w:val="2"/>
                <w:szCs w:val="24"/>
                <w14:ligatures w14:val="standardContextual"/>
              </w:rPr>
              <w:tab/>
            </w:r>
            <w:r w:rsidRPr="00F90ED5">
              <w:rPr>
                <w:rStyle w:val="Lienhypertexte"/>
              </w:rPr>
              <w:t>Évaluation des titres cotés, SICAV et FCP</w:t>
            </w:r>
            <w:r w:rsidRPr="00F90ED5">
              <w:rPr>
                <w:webHidden/>
              </w:rPr>
              <w:tab/>
            </w:r>
            <w:r w:rsidRPr="00F90ED5">
              <w:rPr>
                <w:webHidden/>
              </w:rPr>
              <w:fldChar w:fldCharType="begin"/>
            </w:r>
            <w:r w:rsidRPr="00F90ED5">
              <w:rPr>
                <w:webHidden/>
              </w:rPr>
              <w:instrText xml:space="preserve"> PAGEREF _Toc172550922 \h </w:instrText>
            </w:r>
            <w:r w:rsidRPr="00F90ED5">
              <w:rPr>
                <w:webHidden/>
              </w:rPr>
            </w:r>
            <w:r w:rsidRPr="00F90ED5">
              <w:rPr>
                <w:webHidden/>
              </w:rPr>
              <w:fldChar w:fldCharType="separate"/>
            </w:r>
            <w:r w:rsidRPr="00F90ED5">
              <w:rPr>
                <w:webHidden/>
              </w:rPr>
              <w:t>8</w:t>
            </w:r>
            <w:r w:rsidRPr="00F90ED5">
              <w:rPr>
                <w:webHidden/>
              </w:rPr>
              <w:fldChar w:fldCharType="end"/>
            </w:r>
          </w:hyperlink>
        </w:p>
        <w:p w14:paraId="33981A2A" w14:textId="41438339"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3" w:history="1">
            <w:r w:rsidRPr="00F90ED5">
              <w:rPr>
                <w:rStyle w:val="Lienhypertexte"/>
              </w:rPr>
              <w:t>C.</w:t>
            </w:r>
            <w:r w:rsidRPr="00F90ED5">
              <w:rPr>
                <w:rFonts w:asciiTheme="minorHAnsi" w:eastAsiaTheme="minorEastAsia" w:hAnsiTheme="minorHAnsi"/>
                <w:kern w:val="2"/>
                <w:szCs w:val="24"/>
                <w14:ligatures w14:val="standardContextual"/>
              </w:rPr>
              <w:tab/>
            </w:r>
            <w:r w:rsidRPr="00F90ED5">
              <w:rPr>
                <w:rStyle w:val="Lienhypertexte"/>
              </w:rPr>
              <w:t>Évaluation des titres non cotés</w:t>
            </w:r>
            <w:r w:rsidRPr="00F90ED5">
              <w:rPr>
                <w:webHidden/>
              </w:rPr>
              <w:tab/>
            </w:r>
            <w:r w:rsidRPr="00F90ED5">
              <w:rPr>
                <w:webHidden/>
              </w:rPr>
              <w:fldChar w:fldCharType="begin"/>
            </w:r>
            <w:r w:rsidRPr="00F90ED5">
              <w:rPr>
                <w:webHidden/>
              </w:rPr>
              <w:instrText xml:space="preserve"> PAGEREF _Toc172550923 \h </w:instrText>
            </w:r>
            <w:r w:rsidRPr="00F90ED5">
              <w:rPr>
                <w:webHidden/>
              </w:rPr>
            </w:r>
            <w:r w:rsidRPr="00F90ED5">
              <w:rPr>
                <w:webHidden/>
              </w:rPr>
              <w:fldChar w:fldCharType="separate"/>
            </w:r>
            <w:r w:rsidRPr="00F90ED5">
              <w:rPr>
                <w:webHidden/>
              </w:rPr>
              <w:t>8</w:t>
            </w:r>
            <w:r w:rsidRPr="00F90ED5">
              <w:rPr>
                <w:webHidden/>
              </w:rPr>
              <w:fldChar w:fldCharType="end"/>
            </w:r>
          </w:hyperlink>
        </w:p>
        <w:p w14:paraId="6D3099DE" w14:textId="3E92CB8C"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4" w:history="1">
            <w:r w:rsidRPr="00F90ED5">
              <w:rPr>
                <w:rStyle w:val="Lienhypertexte"/>
              </w:rPr>
              <w:t>D.</w:t>
            </w:r>
            <w:r w:rsidRPr="00F90ED5">
              <w:rPr>
                <w:rFonts w:asciiTheme="minorHAnsi" w:eastAsiaTheme="minorEastAsia" w:hAnsiTheme="minorHAnsi"/>
                <w:kern w:val="2"/>
                <w:szCs w:val="24"/>
                <w14:ligatures w14:val="standardContextual"/>
              </w:rPr>
              <w:tab/>
            </w:r>
            <w:r w:rsidRPr="00F90ED5">
              <w:rPr>
                <w:rStyle w:val="Lienhypertexte"/>
              </w:rPr>
              <w:t>Passif déductible</w:t>
            </w:r>
            <w:r w:rsidRPr="00F90ED5">
              <w:rPr>
                <w:webHidden/>
              </w:rPr>
              <w:tab/>
            </w:r>
            <w:r w:rsidRPr="00F90ED5">
              <w:rPr>
                <w:webHidden/>
              </w:rPr>
              <w:fldChar w:fldCharType="begin"/>
            </w:r>
            <w:r w:rsidRPr="00F90ED5">
              <w:rPr>
                <w:webHidden/>
              </w:rPr>
              <w:instrText xml:space="preserve"> PAGEREF _Toc172550924 \h </w:instrText>
            </w:r>
            <w:r w:rsidRPr="00F90ED5">
              <w:rPr>
                <w:webHidden/>
              </w:rPr>
            </w:r>
            <w:r w:rsidRPr="00F90ED5">
              <w:rPr>
                <w:webHidden/>
              </w:rPr>
              <w:fldChar w:fldCharType="separate"/>
            </w:r>
            <w:r w:rsidRPr="00F90ED5">
              <w:rPr>
                <w:webHidden/>
              </w:rPr>
              <w:t>8</w:t>
            </w:r>
            <w:r w:rsidRPr="00F90ED5">
              <w:rPr>
                <w:webHidden/>
              </w:rPr>
              <w:fldChar w:fldCharType="end"/>
            </w:r>
          </w:hyperlink>
        </w:p>
        <w:p w14:paraId="7C8BC6F7" w14:textId="3A12E101"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5" w:history="1">
            <w:r w:rsidRPr="00F90ED5">
              <w:rPr>
                <w:rStyle w:val="Lienhypertexte"/>
              </w:rPr>
              <w:t>E.</w:t>
            </w:r>
            <w:r w:rsidRPr="00F90ED5">
              <w:rPr>
                <w:rFonts w:asciiTheme="minorHAnsi" w:eastAsiaTheme="minorEastAsia" w:hAnsiTheme="minorHAnsi"/>
                <w:kern w:val="2"/>
                <w:szCs w:val="24"/>
                <w14:ligatures w14:val="standardContextual"/>
              </w:rPr>
              <w:tab/>
            </w:r>
            <w:r w:rsidRPr="00F90ED5">
              <w:rPr>
                <w:rStyle w:val="Lienhypertexte"/>
              </w:rPr>
              <w:t>Passif non déductible</w:t>
            </w:r>
            <w:r w:rsidRPr="00F90ED5">
              <w:rPr>
                <w:webHidden/>
              </w:rPr>
              <w:tab/>
            </w:r>
            <w:r w:rsidRPr="00F90ED5">
              <w:rPr>
                <w:webHidden/>
              </w:rPr>
              <w:fldChar w:fldCharType="begin"/>
            </w:r>
            <w:r w:rsidRPr="00F90ED5">
              <w:rPr>
                <w:webHidden/>
              </w:rPr>
              <w:instrText xml:space="preserve"> PAGEREF _Toc172550925 \h </w:instrText>
            </w:r>
            <w:r w:rsidRPr="00F90ED5">
              <w:rPr>
                <w:webHidden/>
              </w:rPr>
            </w:r>
            <w:r w:rsidRPr="00F90ED5">
              <w:rPr>
                <w:webHidden/>
              </w:rPr>
              <w:fldChar w:fldCharType="separate"/>
            </w:r>
            <w:r w:rsidRPr="00F90ED5">
              <w:rPr>
                <w:webHidden/>
              </w:rPr>
              <w:t>10</w:t>
            </w:r>
            <w:r w:rsidRPr="00F90ED5">
              <w:rPr>
                <w:webHidden/>
              </w:rPr>
              <w:fldChar w:fldCharType="end"/>
            </w:r>
          </w:hyperlink>
        </w:p>
        <w:p w14:paraId="195CF289" w14:textId="719E6780" w:rsidR="0050543B" w:rsidRPr="00F90ED5" w:rsidRDefault="0050543B">
          <w:pPr>
            <w:pStyle w:val="TM3"/>
            <w:rPr>
              <w:rFonts w:asciiTheme="minorHAnsi" w:eastAsiaTheme="minorEastAsia" w:hAnsiTheme="minorHAnsi"/>
              <w:kern w:val="2"/>
              <w:szCs w:val="24"/>
              <w14:ligatures w14:val="standardContextual"/>
            </w:rPr>
          </w:pPr>
          <w:hyperlink w:anchor="_Toc172550926" w:history="1">
            <w:r w:rsidRPr="00F90ED5">
              <w:rPr>
                <w:rStyle w:val="Lienhypertexte"/>
              </w:rPr>
              <w:t>3.</w:t>
            </w:r>
            <w:r w:rsidRPr="00F90ED5">
              <w:rPr>
                <w:rFonts w:asciiTheme="minorHAnsi" w:eastAsiaTheme="minorEastAsia" w:hAnsiTheme="minorHAnsi"/>
                <w:kern w:val="2"/>
                <w:szCs w:val="24"/>
                <w14:ligatures w14:val="standardContextual"/>
              </w:rPr>
              <w:tab/>
            </w:r>
            <w:r w:rsidRPr="00F90ED5">
              <w:rPr>
                <w:rStyle w:val="Lienhypertexte"/>
              </w:rPr>
              <w:t>Barème, réductions, plafonnement</w:t>
            </w:r>
            <w:r w:rsidRPr="00F90ED5">
              <w:rPr>
                <w:webHidden/>
              </w:rPr>
              <w:tab/>
            </w:r>
            <w:r w:rsidRPr="00F90ED5">
              <w:rPr>
                <w:webHidden/>
              </w:rPr>
              <w:fldChar w:fldCharType="begin"/>
            </w:r>
            <w:r w:rsidRPr="00F90ED5">
              <w:rPr>
                <w:webHidden/>
              </w:rPr>
              <w:instrText xml:space="preserve"> PAGEREF _Toc172550926 \h </w:instrText>
            </w:r>
            <w:r w:rsidRPr="00F90ED5">
              <w:rPr>
                <w:webHidden/>
              </w:rPr>
            </w:r>
            <w:r w:rsidRPr="00F90ED5">
              <w:rPr>
                <w:webHidden/>
              </w:rPr>
              <w:fldChar w:fldCharType="separate"/>
            </w:r>
            <w:r w:rsidRPr="00F90ED5">
              <w:rPr>
                <w:webHidden/>
              </w:rPr>
              <w:t>10</w:t>
            </w:r>
            <w:r w:rsidRPr="00F90ED5">
              <w:rPr>
                <w:webHidden/>
              </w:rPr>
              <w:fldChar w:fldCharType="end"/>
            </w:r>
          </w:hyperlink>
        </w:p>
        <w:p w14:paraId="1DD12E8A" w14:textId="43CD0F5B"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7" w:history="1">
            <w:r w:rsidRPr="00F90ED5">
              <w:rPr>
                <w:rStyle w:val="Lienhypertexte"/>
              </w:rPr>
              <w:t>A.</w:t>
            </w:r>
            <w:r w:rsidRPr="00F90ED5">
              <w:rPr>
                <w:rFonts w:asciiTheme="minorHAnsi" w:eastAsiaTheme="minorEastAsia" w:hAnsiTheme="minorHAnsi"/>
                <w:kern w:val="2"/>
                <w:szCs w:val="24"/>
                <w14:ligatures w14:val="standardContextual"/>
              </w:rPr>
              <w:tab/>
            </w:r>
            <w:r w:rsidRPr="00F90ED5">
              <w:rPr>
                <w:rStyle w:val="Lienhypertexte"/>
              </w:rPr>
              <w:t>Application d’une décote</w:t>
            </w:r>
            <w:r w:rsidRPr="00F90ED5">
              <w:rPr>
                <w:webHidden/>
              </w:rPr>
              <w:tab/>
            </w:r>
            <w:r w:rsidRPr="00F90ED5">
              <w:rPr>
                <w:webHidden/>
              </w:rPr>
              <w:fldChar w:fldCharType="begin"/>
            </w:r>
            <w:r w:rsidRPr="00F90ED5">
              <w:rPr>
                <w:webHidden/>
              </w:rPr>
              <w:instrText xml:space="preserve"> PAGEREF _Toc172550927 \h </w:instrText>
            </w:r>
            <w:r w:rsidRPr="00F90ED5">
              <w:rPr>
                <w:webHidden/>
              </w:rPr>
            </w:r>
            <w:r w:rsidRPr="00F90ED5">
              <w:rPr>
                <w:webHidden/>
              </w:rPr>
              <w:fldChar w:fldCharType="separate"/>
            </w:r>
            <w:r w:rsidRPr="00F90ED5">
              <w:rPr>
                <w:webHidden/>
              </w:rPr>
              <w:t>11</w:t>
            </w:r>
            <w:r w:rsidRPr="00F90ED5">
              <w:rPr>
                <w:webHidden/>
              </w:rPr>
              <w:fldChar w:fldCharType="end"/>
            </w:r>
          </w:hyperlink>
        </w:p>
        <w:p w14:paraId="7CF32385" w14:textId="02292AD6"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8" w:history="1">
            <w:r w:rsidRPr="00F90ED5">
              <w:rPr>
                <w:rStyle w:val="Lienhypertexte"/>
              </w:rPr>
              <w:t>B.</w:t>
            </w:r>
            <w:r w:rsidRPr="00F90ED5">
              <w:rPr>
                <w:rFonts w:asciiTheme="minorHAnsi" w:eastAsiaTheme="minorEastAsia" w:hAnsiTheme="minorHAnsi"/>
                <w:kern w:val="2"/>
                <w:szCs w:val="24"/>
                <w14:ligatures w14:val="standardContextual"/>
              </w:rPr>
              <w:tab/>
            </w:r>
            <w:r w:rsidRPr="00F90ED5">
              <w:rPr>
                <w:rStyle w:val="Lienhypertexte"/>
              </w:rPr>
              <w:t>Obligations déclaratives</w:t>
            </w:r>
            <w:r w:rsidRPr="00F90ED5">
              <w:rPr>
                <w:webHidden/>
              </w:rPr>
              <w:tab/>
            </w:r>
            <w:r w:rsidRPr="00F90ED5">
              <w:rPr>
                <w:webHidden/>
              </w:rPr>
              <w:fldChar w:fldCharType="begin"/>
            </w:r>
            <w:r w:rsidRPr="00F90ED5">
              <w:rPr>
                <w:webHidden/>
              </w:rPr>
              <w:instrText xml:space="preserve"> PAGEREF _Toc172550928 \h </w:instrText>
            </w:r>
            <w:r w:rsidRPr="00F90ED5">
              <w:rPr>
                <w:webHidden/>
              </w:rPr>
            </w:r>
            <w:r w:rsidRPr="00F90ED5">
              <w:rPr>
                <w:webHidden/>
              </w:rPr>
              <w:fldChar w:fldCharType="separate"/>
            </w:r>
            <w:r w:rsidRPr="00F90ED5">
              <w:rPr>
                <w:webHidden/>
              </w:rPr>
              <w:t>12</w:t>
            </w:r>
            <w:r w:rsidRPr="00F90ED5">
              <w:rPr>
                <w:webHidden/>
              </w:rPr>
              <w:fldChar w:fldCharType="end"/>
            </w:r>
          </w:hyperlink>
        </w:p>
        <w:p w14:paraId="16A698C9" w14:textId="692A97AC"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29" w:history="1">
            <w:r w:rsidRPr="00F90ED5">
              <w:rPr>
                <w:rStyle w:val="Lienhypertexte"/>
              </w:rPr>
              <w:t>C.</w:t>
            </w:r>
            <w:r w:rsidRPr="00F90ED5">
              <w:rPr>
                <w:rFonts w:asciiTheme="minorHAnsi" w:eastAsiaTheme="minorEastAsia" w:hAnsiTheme="minorHAnsi"/>
                <w:kern w:val="2"/>
                <w:szCs w:val="24"/>
                <w14:ligatures w14:val="standardContextual"/>
              </w:rPr>
              <w:tab/>
            </w:r>
            <w:r w:rsidRPr="00F90ED5">
              <w:rPr>
                <w:rStyle w:val="Lienhypertexte"/>
              </w:rPr>
              <w:t>Réduction « ISF-PME »</w:t>
            </w:r>
            <w:r w:rsidRPr="00F90ED5">
              <w:rPr>
                <w:webHidden/>
              </w:rPr>
              <w:tab/>
            </w:r>
            <w:r w:rsidRPr="00F90ED5">
              <w:rPr>
                <w:webHidden/>
              </w:rPr>
              <w:fldChar w:fldCharType="begin"/>
            </w:r>
            <w:r w:rsidRPr="00F90ED5">
              <w:rPr>
                <w:webHidden/>
              </w:rPr>
              <w:instrText xml:space="preserve"> PAGEREF _Toc172550929 \h </w:instrText>
            </w:r>
            <w:r w:rsidRPr="00F90ED5">
              <w:rPr>
                <w:webHidden/>
              </w:rPr>
            </w:r>
            <w:r w:rsidRPr="00F90ED5">
              <w:rPr>
                <w:webHidden/>
              </w:rPr>
              <w:fldChar w:fldCharType="separate"/>
            </w:r>
            <w:r w:rsidRPr="00F90ED5">
              <w:rPr>
                <w:webHidden/>
              </w:rPr>
              <w:t>12</w:t>
            </w:r>
            <w:r w:rsidRPr="00F90ED5">
              <w:rPr>
                <w:webHidden/>
              </w:rPr>
              <w:fldChar w:fldCharType="end"/>
            </w:r>
          </w:hyperlink>
        </w:p>
        <w:p w14:paraId="1040070D" w14:textId="7990701D"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30" w:history="1">
            <w:r w:rsidRPr="00F90ED5">
              <w:rPr>
                <w:rStyle w:val="Lienhypertexte"/>
              </w:rPr>
              <w:t>D.</w:t>
            </w:r>
            <w:r w:rsidRPr="00F90ED5">
              <w:rPr>
                <w:rFonts w:asciiTheme="minorHAnsi" w:eastAsiaTheme="minorEastAsia" w:hAnsiTheme="minorHAnsi"/>
                <w:kern w:val="2"/>
                <w:szCs w:val="24"/>
                <w14:ligatures w14:val="standardContextual"/>
              </w:rPr>
              <w:tab/>
            </w:r>
            <w:r w:rsidRPr="00F90ED5">
              <w:rPr>
                <w:rStyle w:val="Lienhypertexte"/>
              </w:rPr>
              <w:t>Une réduction supprimée dans le cadre de l’IFI</w:t>
            </w:r>
            <w:r w:rsidRPr="00F90ED5">
              <w:rPr>
                <w:webHidden/>
              </w:rPr>
              <w:tab/>
            </w:r>
            <w:r w:rsidRPr="00F90ED5">
              <w:rPr>
                <w:webHidden/>
              </w:rPr>
              <w:fldChar w:fldCharType="begin"/>
            </w:r>
            <w:r w:rsidRPr="00F90ED5">
              <w:rPr>
                <w:webHidden/>
              </w:rPr>
              <w:instrText xml:space="preserve"> PAGEREF _Toc172550930 \h </w:instrText>
            </w:r>
            <w:r w:rsidRPr="00F90ED5">
              <w:rPr>
                <w:webHidden/>
              </w:rPr>
            </w:r>
            <w:r w:rsidRPr="00F90ED5">
              <w:rPr>
                <w:webHidden/>
              </w:rPr>
              <w:fldChar w:fldCharType="separate"/>
            </w:r>
            <w:r w:rsidRPr="00F90ED5">
              <w:rPr>
                <w:webHidden/>
              </w:rPr>
              <w:t>12</w:t>
            </w:r>
            <w:r w:rsidRPr="00F90ED5">
              <w:rPr>
                <w:webHidden/>
              </w:rPr>
              <w:fldChar w:fldCharType="end"/>
            </w:r>
          </w:hyperlink>
        </w:p>
        <w:p w14:paraId="035B41C3" w14:textId="50C26586"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31" w:history="1">
            <w:r w:rsidRPr="00F90ED5">
              <w:rPr>
                <w:rStyle w:val="Lienhypertexte"/>
              </w:rPr>
              <w:t>E.</w:t>
            </w:r>
            <w:r w:rsidRPr="00F90ED5">
              <w:rPr>
                <w:rFonts w:asciiTheme="minorHAnsi" w:eastAsiaTheme="minorEastAsia" w:hAnsiTheme="minorHAnsi"/>
                <w:kern w:val="2"/>
                <w:szCs w:val="24"/>
                <w14:ligatures w14:val="standardContextual"/>
              </w:rPr>
              <w:tab/>
            </w:r>
            <w:r w:rsidRPr="00F90ED5">
              <w:rPr>
                <w:rStyle w:val="Lienhypertexte"/>
              </w:rPr>
              <w:t>La réduction d’ifi pour dons au profit d’organismes d’intérêt général</w:t>
            </w:r>
            <w:r w:rsidRPr="00F90ED5">
              <w:rPr>
                <w:webHidden/>
              </w:rPr>
              <w:tab/>
            </w:r>
            <w:r w:rsidRPr="00F90ED5">
              <w:rPr>
                <w:webHidden/>
              </w:rPr>
              <w:fldChar w:fldCharType="begin"/>
            </w:r>
            <w:r w:rsidRPr="00F90ED5">
              <w:rPr>
                <w:webHidden/>
              </w:rPr>
              <w:instrText xml:space="preserve"> PAGEREF _Toc172550931 \h </w:instrText>
            </w:r>
            <w:r w:rsidRPr="00F90ED5">
              <w:rPr>
                <w:webHidden/>
              </w:rPr>
            </w:r>
            <w:r w:rsidRPr="00F90ED5">
              <w:rPr>
                <w:webHidden/>
              </w:rPr>
              <w:fldChar w:fldCharType="separate"/>
            </w:r>
            <w:r w:rsidRPr="00F90ED5">
              <w:rPr>
                <w:webHidden/>
              </w:rPr>
              <w:t>13</w:t>
            </w:r>
            <w:r w:rsidRPr="00F90ED5">
              <w:rPr>
                <w:webHidden/>
              </w:rPr>
              <w:fldChar w:fldCharType="end"/>
            </w:r>
          </w:hyperlink>
        </w:p>
        <w:p w14:paraId="5EF6869E" w14:textId="0CE07898"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32" w:history="1">
            <w:r w:rsidRPr="00F90ED5">
              <w:rPr>
                <w:rStyle w:val="Lienhypertexte"/>
              </w:rPr>
              <w:t>F.</w:t>
            </w:r>
            <w:r w:rsidRPr="00F90ED5">
              <w:rPr>
                <w:rFonts w:asciiTheme="minorHAnsi" w:eastAsiaTheme="minorEastAsia" w:hAnsiTheme="minorHAnsi"/>
                <w:kern w:val="2"/>
                <w:szCs w:val="24"/>
                <w14:ligatures w14:val="standardContextual"/>
              </w:rPr>
              <w:tab/>
            </w:r>
            <w:r w:rsidRPr="00F90ED5">
              <w:rPr>
                <w:rStyle w:val="Lienhypertexte"/>
              </w:rPr>
              <w:t>Plafonnement de l’ifi</w:t>
            </w:r>
            <w:r w:rsidRPr="00F90ED5">
              <w:rPr>
                <w:webHidden/>
              </w:rPr>
              <w:tab/>
            </w:r>
            <w:r w:rsidRPr="00F90ED5">
              <w:rPr>
                <w:webHidden/>
              </w:rPr>
              <w:fldChar w:fldCharType="begin"/>
            </w:r>
            <w:r w:rsidRPr="00F90ED5">
              <w:rPr>
                <w:webHidden/>
              </w:rPr>
              <w:instrText xml:space="preserve"> PAGEREF _Toc172550932 \h </w:instrText>
            </w:r>
            <w:r w:rsidRPr="00F90ED5">
              <w:rPr>
                <w:webHidden/>
              </w:rPr>
            </w:r>
            <w:r w:rsidRPr="00F90ED5">
              <w:rPr>
                <w:webHidden/>
              </w:rPr>
              <w:fldChar w:fldCharType="separate"/>
            </w:r>
            <w:r w:rsidRPr="00F90ED5">
              <w:rPr>
                <w:webHidden/>
              </w:rPr>
              <w:t>13</w:t>
            </w:r>
            <w:r w:rsidRPr="00F90ED5">
              <w:rPr>
                <w:webHidden/>
              </w:rPr>
              <w:fldChar w:fldCharType="end"/>
            </w:r>
          </w:hyperlink>
        </w:p>
        <w:p w14:paraId="32973EC1" w14:textId="45BB5FFD" w:rsidR="0050543B" w:rsidRPr="00F90ED5" w:rsidRDefault="0050543B">
          <w:pPr>
            <w:pStyle w:val="TM4"/>
            <w:tabs>
              <w:tab w:val="left" w:pos="1200"/>
              <w:tab w:val="right" w:leader="dot" w:pos="10095"/>
            </w:tabs>
            <w:rPr>
              <w:rFonts w:asciiTheme="minorHAnsi" w:eastAsiaTheme="minorEastAsia" w:hAnsiTheme="minorHAnsi"/>
              <w:kern w:val="2"/>
              <w:szCs w:val="24"/>
              <w14:ligatures w14:val="standardContextual"/>
            </w:rPr>
          </w:pPr>
          <w:hyperlink w:anchor="_Toc172550933" w:history="1">
            <w:r w:rsidRPr="00F90ED5">
              <w:rPr>
                <w:rStyle w:val="Lienhypertexte"/>
              </w:rPr>
              <w:t>G.</w:t>
            </w:r>
            <w:r w:rsidRPr="00F90ED5">
              <w:rPr>
                <w:rFonts w:asciiTheme="minorHAnsi" w:eastAsiaTheme="minorEastAsia" w:hAnsiTheme="minorHAnsi"/>
                <w:kern w:val="2"/>
                <w:szCs w:val="24"/>
                <w14:ligatures w14:val="standardContextual"/>
              </w:rPr>
              <w:tab/>
            </w:r>
            <w:r w:rsidRPr="00F90ED5">
              <w:rPr>
                <w:rStyle w:val="Lienhypertexte"/>
              </w:rPr>
              <w:t>Délais de prescription</w:t>
            </w:r>
            <w:r w:rsidRPr="00F90ED5">
              <w:rPr>
                <w:webHidden/>
              </w:rPr>
              <w:tab/>
            </w:r>
            <w:r w:rsidRPr="00F90ED5">
              <w:rPr>
                <w:webHidden/>
              </w:rPr>
              <w:fldChar w:fldCharType="begin"/>
            </w:r>
            <w:r w:rsidRPr="00F90ED5">
              <w:rPr>
                <w:webHidden/>
              </w:rPr>
              <w:instrText xml:space="preserve"> PAGEREF _Toc172550933 \h </w:instrText>
            </w:r>
            <w:r w:rsidRPr="00F90ED5">
              <w:rPr>
                <w:webHidden/>
              </w:rPr>
            </w:r>
            <w:r w:rsidRPr="00F90ED5">
              <w:rPr>
                <w:webHidden/>
              </w:rPr>
              <w:fldChar w:fldCharType="separate"/>
            </w:r>
            <w:r w:rsidRPr="00F90ED5">
              <w:rPr>
                <w:webHidden/>
              </w:rPr>
              <w:t>14</w:t>
            </w:r>
            <w:r w:rsidRPr="00F90ED5">
              <w:rPr>
                <w:webHidden/>
              </w:rPr>
              <w:fldChar w:fldCharType="end"/>
            </w:r>
          </w:hyperlink>
        </w:p>
        <w:p w14:paraId="76D52D41" w14:textId="6F4F4668" w:rsidR="00B8067C" w:rsidRPr="00F90ED5" w:rsidRDefault="00E40861">
          <w:r w:rsidRPr="00F90ED5">
            <w:fldChar w:fldCharType="end"/>
          </w:r>
        </w:p>
      </w:sdtContent>
    </w:sdt>
    <w:p w14:paraId="5A0C8BE0" w14:textId="1EAF40BE" w:rsidR="00673AD4" w:rsidRPr="00F90ED5" w:rsidRDefault="00673AD4" w:rsidP="00673AD4">
      <w:pPr>
        <w:rPr>
          <w:color w:val="2F5496" w:themeColor="accent1" w:themeShade="BF"/>
        </w:rPr>
      </w:pPr>
      <w:bookmarkStart w:id="0" w:name="_Toc172550900"/>
    </w:p>
    <w:p w14:paraId="0BFE1E21" w14:textId="77777777" w:rsidR="00673AD4" w:rsidRPr="00F90ED5" w:rsidRDefault="00673AD4" w:rsidP="00673AD4">
      <w:pPr>
        <w:rPr>
          <w:color w:val="2F5496" w:themeColor="accent1" w:themeShade="BF"/>
        </w:rPr>
      </w:pPr>
    </w:p>
    <w:p w14:paraId="765B154A" w14:textId="77777777" w:rsidR="00673AD4" w:rsidRPr="00F90ED5" w:rsidRDefault="00673AD4" w:rsidP="00673AD4">
      <w:pPr>
        <w:rPr>
          <w:color w:val="2F5496" w:themeColor="accent1" w:themeShade="BF"/>
        </w:rPr>
      </w:pPr>
    </w:p>
    <w:p w14:paraId="5BEEA4F2" w14:textId="77777777" w:rsidR="00673AD4" w:rsidRPr="00F90ED5" w:rsidRDefault="00673AD4" w:rsidP="00673AD4">
      <w:pPr>
        <w:rPr>
          <w:color w:val="2F5496" w:themeColor="accent1" w:themeShade="BF"/>
        </w:rPr>
      </w:pPr>
    </w:p>
    <w:p w14:paraId="7F4C3015" w14:textId="77777777" w:rsidR="00673AD4" w:rsidRPr="00F90ED5" w:rsidRDefault="00673AD4" w:rsidP="00673AD4">
      <w:pPr>
        <w:rPr>
          <w:color w:val="2F5496" w:themeColor="accent1" w:themeShade="BF"/>
        </w:rPr>
      </w:pPr>
    </w:p>
    <w:p w14:paraId="5A0E8400" w14:textId="77777777" w:rsidR="00673AD4" w:rsidRPr="00F90ED5" w:rsidRDefault="00673AD4" w:rsidP="00673AD4">
      <w:pPr>
        <w:rPr>
          <w:color w:val="2F5496" w:themeColor="accent1" w:themeShade="BF"/>
        </w:rPr>
      </w:pPr>
    </w:p>
    <w:p w14:paraId="429C439C" w14:textId="77777777" w:rsidR="00673AD4" w:rsidRPr="00F90ED5" w:rsidRDefault="00673AD4" w:rsidP="00673AD4">
      <w:pPr>
        <w:rPr>
          <w:color w:val="2F5496" w:themeColor="accent1" w:themeShade="BF"/>
        </w:rPr>
      </w:pPr>
    </w:p>
    <w:p w14:paraId="7FA29988" w14:textId="77777777" w:rsidR="00673AD4" w:rsidRPr="00F90ED5" w:rsidRDefault="00673AD4" w:rsidP="00673AD4">
      <w:pPr>
        <w:rPr>
          <w:color w:val="2F5496" w:themeColor="accent1" w:themeShade="BF"/>
        </w:rPr>
      </w:pPr>
    </w:p>
    <w:p w14:paraId="559F7585" w14:textId="77777777" w:rsidR="00673AD4" w:rsidRPr="00F90ED5" w:rsidRDefault="00673AD4" w:rsidP="00673AD4">
      <w:pPr>
        <w:rPr>
          <w:color w:val="2F5496" w:themeColor="accent1" w:themeShade="BF"/>
        </w:rPr>
      </w:pPr>
    </w:p>
    <w:p w14:paraId="539733BE" w14:textId="77777777" w:rsidR="000138BB" w:rsidRPr="00F90ED5" w:rsidRDefault="000138BB" w:rsidP="000138BB"/>
    <w:p w14:paraId="6C7850E9" w14:textId="4453774A" w:rsidR="000138BB" w:rsidRPr="00F90ED5" w:rsidRDefault="000138BB" w:rsidP="000138BB">
      <w:r w:rsidRPr="00F90ED5">
        <w:rPr>
          <w:noProof/>
          <w:color w:val="2F5496" w:themeColor="accent1" w:themeShade="BF"/>
          <w14:ligatures w14:val="standardContextual"/>
        </w:rPr>
        <w:lastRenderedPageBreak/>
        <mc:AlternateContent>
          <mc:Choice Requires="wps">
            <w:drawing>
              <wp:anchor distT="0" distB="0" distL="114300" distR="114300" simplePos="0" relativeHeight="251660287" behindDoc="1" locked="0" layoutInCell="1" allowOverlap="1" wp14:anchorId="5B028202" wp14:editId="39CFA4DB">
                <wp:simplePos x="0" y="0"/>
                <wp:positionH relativeFrom="column">
                  <wp:posOffset>-1324304</wp:posOffset>
                </wp:positionH>
                <wp:positionV relativeFrom="paragraph">
                  <wp:posOffset>-137182</wp:posOffset>
                </wp:positionV>
                <wp:extent cx="16143889" cy="8686800"/>
                <wp:effectExtent l="0" t="0" r="10795" b="19050"/>
                <wp:wrapNone/>
                <wp:docPr id="921148481" name="Rectangle 4"/>
                <wp:cNvGraphicFramePr/>
                <a:graphic xmlns:a="http://schemas.openxmlformats.org/drawingml/2006/main">
                  <a:graphicData uri="http://schemas.microsoft.com/office/word/2010/wordprocessingShape">
                    <wps:wsp>
                      <wps:cNvSpPr/>
                      <wps:spPr>
                        <a:xfrm>
                          <a:off x="0" y="0"/>
                          <a:ext cx="16143889" cy="8686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EFDE3" id="Rectangle 4" o:spid="_x0000_s1026" style="position:absolute;margin-left:-104.3pt;margin-top:-10.8pt;width:1271.15pt;height:684pt;z-index:-251656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" fillcolor="#4472c4 [3204]" strokecolor="#09101d [484]" strokeweight="1pt"/>
            </w:pict>
          </mc:Fallback>
        </mc:AlternateContent>
      </w:r>
    </w:p>
    <w:p w14:paraId="4209B458" w14:textId="7C7D2509" w:rsidR="000138BB" w:rsidRPr="00F90ED5" w:rsidRDefault="000138BB" w:rsidP="000138BB"/>
    <w:p w14:paraId="22CC751A" w14:textId="6E948DE2" w:rsidR="000138BB" w:rsidRPr="00F90ED5" w:rsidRDefault="000138BB" w:rsidP="000138BB"/>
    <w:p w14:paraId="7B02F29D" w14:textId="77777777" w:rsidR="000138BB" w:rsidRPr="00F90ED5" w:rsidRDefault="000138BB" w:rsidP="000138BB"/>
    <w:p w14:paraId="313FBB6D" w14:textId="77777777" w:rsidR="000138BB" w:rsidRPr="00F90ED5" w:rsidRDefault="000138BB" w:rsidP="000138BB"/>
    <w:p w14:paraId="04CDB741" w14:textId="77777777" w:rsidR="000138BB" w:rsidRPr="00F90ED5" w:rsidRDefault="000138BB" w:rsidP="000138BB"/>
    <w:p w14:paraId="75A2BFC4" w14:textId="77777777" w:rsidR="000138BB" w:rsidRPr="00F90ED5" w:rsidRDefault="000138BB" w:rsidP="000138BB"/>
    <w:p w14:paraId="47187088" w14:textId="77777777" w:rsidR="000138BB" w:rsidRPr="00F90ED5" w:rsidRDefault="000138BB" w:rsidP="000138BB"/>
    <w:p w14:paraId="1EACDAF4" w14:textId="77777777" w:rsidR="000138BB" w:rsidRPr="00F90ED5" w:rsidRDefault="000138BB" w:rsidP="000138BB"/>
    <w:p w14:paraId="6DC740CF" w14:textId="670DFCEC" w:rsidR="00673AD4" w:rsidRPr="00F90ED5" w:rsidRDefault="001F256B" w:rsidP="000138BB">
      <w:pPr>
        <w:pStyle w:val="Titre1"/>
      </w:pPr>
      <w:r w:rsidRPr="00F90ED5">
        <w:t>Assiette de l’</w:t>
      </w:r>
      <w:proofErr w:type="spellStart"/>
      <w:r w:rsidRPr="00F90ED5">
        <w:t>ifi</w:t>
      </w:r>
      <w:bookmarkEnd w:id="0"/>
      <w:proofErr w:type="spellEnd"/>
      <w:r w:rsidRPr="00F90ED5">
        <w:t> </w:t>
      </w:r>
    </w:p>
    <w:p w14:paraId="2E3BF23D" w14:textId="77777777" w:rsidR="00673AD4" w:rsidRPr="00F90ED5" w:rsidRDefault="00673AD4" w:rsidP="0047315F">
      <w:pPr>
        <w:pStyle w:val="CGPC-elearning"/>
        <w:rPr>
          <w:rFonts w:eastAsiaTheme="majorEastAsia"/>
          <w:color w:val="3A5D9C"/>
          <w:sz w:val="44"/>
          <w:szCs w:val="26"/>
        </w:rPr>
      </w:pPr>
      <w:r w:rsidRPr="00F90ED5">
        <w:br w:type="page"/>
      </w:r>
    </w:p>
    <w:p w14:paraId="100E47BA" w14:textId="2769938F" w:rsidR="00E642F7" w:rsidRPr="00F90ED5" w:rsidRDefault="001F256B" w:rsidP="0047315F">
      <w:pPr>
        <w:pStyle w:val="Titre3"/>
      </w:pPr>
      <w:bookmarkStart w:id="1" w:name="_Toc172550901"/>
      <w:r w:rsidRPr="00F90ED5">
        <w:lastRenderedPageBreak/>
        <w:t>Personnes imposables</w:t>
      </w:r>
      <w:bookmarkEnd w:id="1"/>
    </w:p>
    <w:p w14:paraId="0EE26E3C" w14:textId="265C5401" w:rsidR="00E642F7" w:rsidRPr="00F90ED5" w:rsidRDefault="005842CB" w:rsidP="004B39C6">
      <w:r w:rsidRPr="00F90ED5">
        <w:t xml:space="preserve">Sont assujetties à </w:t>
      </w:r>
      <w:r w:rsidRPr="00F90ED5">
        <w:rPr>
          <w:b/>
          <w:bCs/>
        </w:rPr>
        <w:t xml:space="preserve">l'Impôt sur la Fortune Immobilière </w:t>
      </w:r>
      <w:r w:rsidRPr="00F90ED5">
        <w:t>(IFI) toutes les personnes physiques ayant leur domicile fiscal en France ou à l'étranger, sous réserve que le contribuable détienne des biens dont la valeur nette taxable du patrimoine immobilier dépasse 1,3 million d'euros au 1er janvier de l'année d'imposition</w:t>
      </w:r>
      <w:r w:rsidR="00B51B56" w:rsidRPr="00F90ED5">
        <w:t>.</w:t>
      </w:r>
    </w:p>
    <w:p w14:paraId="4FB762ED" w14:textId="77777777" w:rsidR="00B51B56" w:rsidRPr="00F90ED5" w:rsidRDefault="00B51B56" w:rsidP="0047315F">
      <w:pPr>
        <w:pStyle w:val="CGPC-elearning"/>
      </w:pPr>
    </w:p>
    <w:p w14:paraId="175C98AF" w14:textId="7BF09FBA" w:rsidR="00E642F7" w:rsidRPr="00F90ED5" w:rsidRDefault="000B415C" w:rsidP="0047315F">
      <w:pPr>
        <w:pStyle w:val="CGPC-elearning"/>
      </w:pPr>
      <w:r w:rsidRPr="00F90ED5">
        <w:t xml:space="preserve">L’IFI doit être déclaré via le formulaire annexe n°2042-IFI, en même temps que la déclaration de revenus. </w:t>
      </w:r>
      <w:r w:rsidR="00946AF7" w:rsidRPr="00F90ED5">
        <w:t>À</w:t>
      </w:r>
      <w:r w:rsidR="00E642F7" w:rsidRPr="00F90ED5">
        <w:t xml:space="preserve"> cette date sont considérées</w:t>
      </w:r>
      <w:r w:rsidR="00E46727" w:rsidRPr="00F90ED5">
        <w:t> :</w:t>
      </w:r>
    </w:p>
    <w:p w14:paraId="565A1DA2" w14:textId="156D9409" w:rsidR="00E642F7" w:rsidRPr="00F90ED5" w:rsidRDefault="00E642F7" w:rsidP="009063DF">
      <w:pPr>
        <w:pStyle w:val="CGPC-elearning"/>
        <w:numPr>
          <w:ilvl w:val="0"/>
          <w:numId w:val="10"/>
        </w:numPr>
      </w:pPr>
      <w:r w:rsidRPr="00F90ED5">
        <w:t>La domiciliation fiscale de la personne physique (France ou hors de France)</w:t>
      </w:r>
    </w:p>
    <w:p w14:paraId="5A2FA232" w14:textId="691BD47B" w:rsidR="00E642F7" w:rsidRPr="00F90ED5" w:rsidRDefault="00E642F7" w:rsidP="009063DF">
      <w:pPr>
        <w:pStyle w:val="CGPC-elearning"/>
        <w:numPr>
          <w:ilvl w:val="0"/>
          <w:numId w:val="10"/>
        </w:numPr>
      </w:pPr>
      <w:r w:rsidRPr="00F90ED5">
        <w:t>La composition du foyer fiscal au 1</w:t>
      </w:r>
      <w:r w:rsidRPr="00F90ED5">
        <w:rPr>
          <w:vertAlign w:val="superscript"/>
        </w:rPr>
        <w:t>er</w:t>
      </w:r>
      <w:r w:rsidRPr="00F90ED5">
        <w:t> janvier de l’année d’imposition.</w:t>
      </w:r>
    </w:p>
    <w:p w14:paraId="521618C8" w14:textId="63CE4243" w:rsidR="00E642F7" w:rsidRPr="00F90ED5" w:rsidRDefault="00E642F7" w:rsidP="009063DF">
      <w:pPr>
        <w:pStyle w:val="CGPC-elearning"/>
        <w:numPr>
          <w:ilvl w:val="0"/>
          <w:numId w:val="10"/>
        </w:numPr>
      </w:pPr>
      <w:r w:rsidRPr="00F90ED5">
        <w:t>L’assiette de L’IFI</w:t>
      </w:r>
    </w:p>
    <w:p w14:paraId="270D3E3A" w14:textId="32C18FB4" w:rsidR="00E642F7" w:rsidRPr="00F90ED5" w:rsidRDefault="001F256B" w:rsidP="00583473">
      <w:pPr>
        <w:pStyle w:val="Titre4"/>
      </w:pPr>
      <w:bookmarkStart w:id="2" w:name="_Toc172550902"/>
      <w:r w:rsidRPr="00F90ED5">
        <w:t>Territorialité</w:t>
      </w:r>
      <w:bookmarkEnd w:id="2"/>
    </w:p>
    <w:p w14:paraId="7123F48C" w14:textId="77777777" w:rsidR="00E42294" w:rsidRPr="00E42294" w:rsidRDefault="00E42294" w:rsidP="009063DF">
      <w:pPr>
        <w:numPr>
          <w:ilvl w:val="0"/>
          <w:numId w:val="13"/>
        </w:numPr>
        <w:shd w:val="clear" w:color="auto" w:fill="FFFFFF"/>
        <w:spacing w:before="120" w:after="120" w:line="240" w:lineRule="auto"/>
        <w:rPr>
          <w:rFonts w:eastAsia="Times New Roman" w:cs="Open Sans"/>
          <w:color w:val="262626"/>
          <w:szCs w:val="32"/>
        </w:rPr>
      </w:pPr>
      <w:r w:rsidRPr="00E42294">
        <w:rPr>
          <w:rFonts w:eastAsia="Times New Roman" w:cs="Open Sans"/>
          <w:b/>
          <w:bCs/>
          <w:color w:val="262626"/>
          <w:szCs w:val="32"/>
        </w:rPr>
        <w:t>Résidents fiscaux en France</w:t>
      </w:r>
      <w:r w:rsidRPr="00E42294">
        <w:rPr>
          <w:rFonts w:eastAsia="Times New Roman" w:cs="Open Sans"/>
          <w:color w:val="262626"/>
          <w:szCs w:val="32"/>
        </w:rPr>
        <w:t> : Les personnes dont le domicile fiscal est en France sont imposées sur leurs biens immobiliers et droits immobiliers, qu'ils soient situés en France ou à l'étranger, et qu'ils soient détenus directement ou indirectement.</w:t>
      </w:r>
    </w:p>
    <w:p w14:paraId="0B699194" w14:textId="46D54A16" w:rsidR="00E42294" w:rsidRPr="00F90ED5" w:rsidRDefault="00E42294" w:rsidP="009063DF">
      <w:pPr>
        <w:numPr>
          <w:ilvl w:val="0"/>
          <w:numId w:val="13"/>
        </w:numPr>
        <w:shd w:val="clear" w:color="auto" w:fill="FFFFFF"/>
        <w:spacing w:before="120" w:after="120" w:line="240" w:lineRule="auto"/>
        <w:rPr>
          <w:rFonts w:eastAsia="Times New Roman" w:cs="Open Sans"/>
          <w:color w:val="262626"/>
          <w:szCs w:val="32"/>
        </w:rPr>
      </w:pPr>
      <w:r w:rsidRPr="00E42294">
        <w:rPr>
          <w:rFonts w:eastAsia="Times New Roman" w:cs="Open Sans"/>
          <w:b/>
          <w:bCs/>
          <w:color w:val="262626"/>
          <w:szCs w:val="32"/>
        </w:rPr>
        <w:t>Non-résidents fiscaux</w:t>
      </w:r>
      <w:r w:rsidRPr="00E42294">
        <w:rPr>
          <w:rFonts w:eastAsia="Times New Roman" w:cs="Open Sans"/>
          <w:color w:val="262626"/>
          <w:szCs w:val="32"/>
        </w:rPr>
        <w:t> : Les personnes dont le domicile fiscal n'est pas en France sont soumises à l'IFI uniquement pour leurs biens immobiliers et droits immobiliers situés en France, sous réserve des conventions fiscales internationales applicables.</w:t>
      </w:r>
    </w:p>
    <w:p w14:paraId="77577DF5" w14:textId="7F88097A" w:rsidR="0098135F" w:rsidRPr="00F90ED5" w:rsidRDefault="008A54C9" w:rsidP="0047315F">
      <w:pPr>
        <w:pStyle w:val="CGPC-elearning"/>
      </w:pPr>
      <w:r w:rsidRPr="00F90ED5">
        <w:rPr>
          <w:noProof/>
        </w:rPr>
        <w:lastRenderedPageBreak/>
        <w:drawing>
          <wp:anchor distT="0" distB="0" distL="114300" distR="114300" simplePos="0" relativeHeight="251663360" behindDoc="0" locked="0" layoutInCell="1" allowOverlap="1" wp14:anchorId="3BDACECF" wp14:editId="07FE5F52">
            <wp:simplePos x="0" y="0"/>
            <wp:positionH relativeFrom="column">
              <wp:posOffset>1543569</wp:posOffset>
            </wp:positionH>
            <wp:positionV relativeFrom="paragraph">
              <wp:posOffset>337696</wp:posOffset>
            </wp:positionV>
            <wp:extent cx="9309735" cy="5183505"/>
            <wp:effectExtent l="0" t="0" r="5715" b="0"/>
            <wp:wrapTopAndBottom/>
            <wp:docPr id="333555009" name="Image 6"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55009" name="Image 6" descr="Une image contenant texte, capture d’écran, Police, logo"/>
                    <pic:cNvPicPr/>
                  </pic:nvPicPr>
                  <pic:blipFill>
                    <a:blip r:embed="rId10">
                      <a:extLst>
                        <a:ext uri="{28A0092B-C50C-407E-A947-70E740481C1C}">
                          <a14:useLocalDpi xmlns:a14="http://schemas.microsoft.com/office/drawing/2010/main" val="0"/>
                        </a:ext>
                      </a:extLst>
                    </a:blip>
                    <a:stretch>
                      <a:fillRect/>
                    </a:stretch>
                  </pic:blipFill>
                  <pic:spPr>
                    <a:xfrm>
                      <a:off x="0" y="0"/>
                      <a:ext cx="9309735" cy="5183505"/>
                    </a:xfrm>
                    <a:prstGeom prst="rect">
                      <a:avLst/>
                    </a:prstGeom>
                  </pic:spPr>
                </pic:pic>
              </a:graphicData>
            </a:graphic>
            <wp14:sizeRelH relativeFrom="margin">
              <wp14:pctWidth>0</wp14:pctWidth>
            </wp14:sizeRelH>
            <wp14:sizeRelV relativeFrom="margin">
              <wp14:pctHeight>0</wp14:pctHeight>
            </wp14:sizeRelV>
          </wp:anchor>
        </w:drawing>
      </w:r>
    </w:p>
    <w:p w14:paraId="3D88D29C" w14:textId="2DC60329" w:rsidR="003A2E05" w:rsidRPr="00F90ED5" w:rsidRDefault="00E642F7" w:rsidP="0047315F">
      <w:pPr>
        <w:pStyle w:val="CGPC-elearning"/>
      </w:pPr>
      <w:r w:rsidRPr="00F90ED5">
        <w:rPr>
          <w:strike/>
        </w:rPr>
        <w:br/>
      </w:r>
      <w:r w:rsidRPr="00F90ED5">
        <w:t xml:space="preserve">À noter : </w:t>
      </w:r>
    </w:p>
    <w:p w14:paraId="0B3A2FC2" w14:textId="1BEDF870" w:rsidR="009F1499" w:rsidRPr="00F90ED5" w:rsidRDefault="009F1499" w:rsidP="009F1499">
      <w:pPr>
        <w:rPr>
          <w:rFonts w:eastAsia="Times New Roman" w:cs="Open Sans"/>
          <w:bCs/>
          <w:color w:val="000000"/>
          <w:kern w:val="2"/>
          <w:szCs w:val="24"/>
          <w:bdr w:val="none" w:sz="0" w:space="0" w:color="auto" w:frame="1"/>
          <w:lang w:eastAsia="en-GB"/>
          <w14:ligatures w14:val="standardContextual"/>
        </w:rPr>
      </w:pPr>
      <w:r w:rsidRPr="00F90ED5">
        <w:rPr>
          <w:rFonts w:eastAsia="Times New Roman" w:cs="Open Sans"/>
          <w:bCs/>
          <w:color w:val="000000"/>
          <w:kern w:val="2"/>
          <w:szCs w:val="24"/>
          <w:bdr w:val="none" w:sz="0" w:space="0" w:color="auto" w:frame="1"/>
          <w:lang w:eastAsia="en-GB"/>
          <w14:ligatures w14:val="standardContextual"/>
        </w:rPr>
        <w:t>Les personnes qui n</w:t>
      </w:r>
      <w:r w:rsidR="007762A4" w:rsidRPr="00F90ED5">
        <w:rPr>
          <w:rFonts w:eastAsia="Times New Roman" w:cs="Open Sans"/>
          <w:bCs/>
          <w:color w:val="000000"/>
          <w:kern w:val="2"/>
          <w:szCs w:val="24"/>
          <w:bdr w:val="none" w:sz="0" w:space="0" w:color="auto" w:frame="1"/>
          <w:lang w:eastAsia="en-GB"/>
          <w14:ligatures w14:val="standardContextual"/>
        </w:rPr>
        <w:t>’ont pas résidé</w:t>
      </w:r>
      <w:r w:rsidRPr="00F90ED5">
        <w:rPr>
          <w:rFonts w:eastAsia="Times New Roman" w:cs="Open Sans"/>
          <w:bCs/>
          <w:color w:val="000000"/>
          <w:kern w:val="2"/>
          <w:szCs w:val="24"/>
          <w:bdr w:val="none" w:sz="0" w:space="0" w:color="auto" w:frame="1"/>
          <w:lang w:eastAsia="en-GB"/>
          <w14:ligatures w14:val="standardContextual"/>
        </w:rPr>
        <w:t xml:space="preserve"> fiscalement en France, au cours des cinq dernières années civils, sont néanmoins assujettis à l'Impôt sur la Fortune Immobilière (IFI) uniquement pour les actifs immobiliers qu'ils détiennent sur le territoire français. Cette exonération s'applique aux actifs immobiliers situés à l'étranger et demeure en vigueur jusqu'au 31 décembre de la cinquième année suivant celle au cours de laquelle ces personnes ont modifié leur domicile fiscal pour établir leur résidence en France.</w:t>
      </w:r>
    </w:p>
    <w:p w14:paraId="5B3AE2DA" w14:textId="77777777" w:rsidR="00E642F7" w:rsidRPr="00F90ED5" w:rsidRDefault="00E642F7" w:rsidP="0047315F">
      <w:pPr>
        <w:pStyle w:val="CGPC-elearning"/>
      </w:pPr>
      <w:r w:rsidRPr="00F90ED5">
        <w:t> </w:t>
      </w:r>
    </w:p>
    <w:p w14:paraId="7D1DBDC0" w14:textId="304DA439" w:rsidR="00E642F7" w:rsidRPr="00F90ED5" w:rsidRDefault="00B15079" w:rsidP="00583473">
      <w:pPr>
        <w:pStyle w:val="Titre4"/>
      </w:pPr>
      <w:bookmarkStart w:id="3" w:name="_Toc172550903"/>
      <w:r w:rsidRPr="00F90ED5">
        <w:lastRenderedPageBreak/>
        <w:t>Analyse de la composition du foyer fiscal dans le cadre de l'Impôt sur la Fortune Immobilière (IFI)</w:t>
      </w:r>
      <w:bookmarkEnd w:id="3"/>
    </w:p>
    <w:p w14:paraId="790578EA" w14:textId="4DE91E8B" w:rsidR="00E642F7" w:rsidRPr="00F90ED5" w:rsidRDefault="00461953" w:rsidP="0047315F">
      <w:pPr>
        <w:pStyle w:val="CGPC-elearning"/>
      </w:pPr>
      <w:r w:rsidRPr="00F90ED5">
        <w:t xml:space="preserve">L’Impôt sur la Fortune Immobilière (IFI) concerne le patrimoine des membres du foyer fiscal tel que défini au 1er janvier de l’année d’imposition (par exemple, au 0101N pour l’IFI à acquitter lors de l’année N). Cela implique une évaluation précise du patrimoine immobilier détenu à cette date, incluant notamment les biens immobiliers et les droits réels associés </w:t>
      </w:r>
      <w:r w:rsidR="00E642F7" w:rsidRPr="00F90ED5">
        <w:t>:</w:t>
      </w:r>
    </w:p>
    <w:p w14:paraId="61FCA71C" w14:textId="140C649F" w:rsidR="00E642F7" w:rsidRPr="00F90ED5" w:rsidRDefault="00E642F7" w:rsidP="0047315F">
      <w:pPr>
        <w:pStyle w:val="CGPC-elearning"/>
      </w:pPr>
      <w:r w:rsidRPr="00F90ED5">
        <w:t>-</w:t>
      </w:r>
      <w:r w:rsidR="00304BF4" w:rsidRPr="00F90ED5">
        <w:t xml:space="preserve"> </w:t>
      </w:r>
      <w:r w:rsidRPr="00F90ED5">
        <w:t>des célibataires, veufs, divorcés, séparés ;</w:t>
      </w:r>
    </w:p>
    <w:p w14:paraId="0BBB9135" w14:textId="6748736B" w:rsidR="00E642F7" w:rsidRPr="00F90ED5" w:rsidRDefault="00E642F7" w:rsidP="0047315F">
      <w:pPr>
        <w:pStyle w:val="CGPC-elearning"/>
      </w:pPr>
      <w:r w:rsidRPr="00F90ED5">
        <w:t>-</w:t>
      </w:r>
      <w:r w:rsidR="00304BF4" w:rsidRPr="00F90ED5">
        <w:t xml:space="preserve"> </w:t>
      </w:r>
      <w:r w:rsidR="00F9607A" w:rsidRPr="00F90ED5">
        <w:t>des époux, indépendamment de leur régime matrimonial, à l'exception de ceux qui sont séparés de biens et qui ne cohabitent pas, ainsi que des époux actuellement en instance de séparation de corps ou de divorce et vivant séparément</w:t>
      </w:r>
      <w:r w:rsidRPr="00F90ED5">
        <w:t>.</w:t>
      </w:r>
    </w:p>
    <w:p w14:paraId="35BE5DDE" w14:textId="6AF6692B" w:rsidR="00E642F7" w:rsidRPr="00F90ED5" w:rsidRDefault="00E642F7" w:rsidP="0047315F">
      <w:pPr>
        <w:pStyle w:val="CGPC-elearning"/>
      </w:pPr>
      <w:r w:rsidRPr="00F90ED5">
        <w:t>-</w:t>
      </w:r>
      <w:r w:rsidR="000760B6" w:rsidRPr="00F90ED5">
        <w:t xml:space="preserve"> </w:t>
      </w:r>
      <w:r w:rsidRPr="00F90ED5">
        <w:t>des couples pacsés ;</w:t>
      </w:r>
    </w:p>
    <w:p w14:paraId="6323EFA7" w14:textId="0A2D7AE1" w:rsidR="00E642F7" w:rsidRPr="00F90ED5" w:rsidRDefault="00E642F7" w:rsidP="0047315F">
      <w:pPr>
        <w:pStyle w:val="CGPC-elearning"/>
      </w:pPr>
      <w:r w:rsidRPr="00F90ED5">
        <w:t>-</w:t>
      </w:r>
      <w:r w:rsidR="000760B6" w:rsidRPr="00F90ED5">
        <w:t xml:space="preserve"> </w:t>
      </w:r>
      <w:r w:rsidRPr="00F90ED5">
        <w:t>des concubins ;</w:t>
      </w:r>
    </w:p>
    <w:p w14:paraId="74ADC9FC" w14:textId="0DCFBEB7" w:rsidR="00E642F7" w:rsidRPr="00F90ED5" w:rsidRDefault="00E642F7" w:rsidP="0047315F">
      <w:pPr>
        <w:pStyle w:val="CGPC-elearning"/>
      </w:pPr>
      <w:r w:rsidRPr="00F90ED5">
        <w:t>-</w:t>
      </w:r>
      <w:r w:rsidR="000760B6" w:rsidRPr="00F90ED5">
        <w:t xml:space="preserve"> </w:t>
      </w:r>
      <w:r w:rsidRPr="00F90ED5">
        <w:t xml:space="preserve">des enfants mineurs </w:t>
      </w:r>
      <w:r w:rsidR="00033C6F" w:rsidRPr="00F90ED5">
        <w:t>hors mineurs émancipés</w:t>
      </w:r>
    </w:p>
    <w:p w14:paraId="3B6909B6" w14:textId="0D77FD27" w:rsidR="00E642F7" w:rsidRPr="00F90ED5" w:rsidRDefault="001F256B" w:rsidP="0047315F">
      <w:pPr>
        <w:pStyle w:val="Titre3"/>
      </w:pPr>
      <w:bookmarkStart w:id="4" w:name="_Toc172550904"/>
      <w:r w:rsidRPr="00F90ED5">
        <w:t>Les actifs imposables</w:t>
      </w:r>
      <w:bookmarkEnd w:id="4"/>
    </w:p>
    <w:p w14:paraId="47A6604F" w14:textId="5205CD22" w:rsidR="00E642F7" w:rsidRPr="00F90ED5" w:rsidRDefault="00E642F7" w:rsidP="000138BB">
      <w:pPr>
        <w:rPr>
          <w:lang w:eastAsia="fr-FR"/>
        </w:rPr>
      </w:pPr>
      <w:r w:rsidRPr="00F90ED5">
        <w:rPr>
          <w:lang w:eastAsia="fr-FR"/>
        </w:rPr>
        <w:t>Le principe retenu est celui de </w:t>
      </w:r>
      <w:r w:rsidRPr="00F90ED5">
        <w:rPr>
          <w:b/>
          <w:bCs/>
          <w:bdr w:val="none" w:sz="0" w:space="0" w:color="auto" w:frame="1"/>
          <w:lang w:eastAsia="fr-FR"/>
        </w:rPr>
        <w:t>l’imposition de l’ensemble des actifs immobiliers du </w:t>
      </w:r>
      <w:r w:rsidRPr="00F90ED5">
        <w:rPr>
          <w:b/>
          <w:bCs/>
          <w:u w:val="single"/>
          <w:bdr w:val="none" w:sz="0" w:space="0" w:color="auto" w:frame="1"/>
          <w:lang w:eastAsia="fr-FR"/>
        </w:rPr>
        <w:t>foyer fiscal</w:t>
      </w:r>
      <w:r w:rsidRPr="00F90ED5">
        <w:rPr>
          <w:b/>
          <w:bCs/>
          <w:bdr w:val="none" w:sz="0" w:space="0" w:color="auto" w:frame="1"/>
          <w:lang w:eastAsia="fr-FR"/>
        </w:rPr>
        <w:t xml:space="preserve"> sauf</w:t>
      </w:r>
      <w:r w:rsidRPr="00F90ED5">
        <w:rPr>
          <w:lang w:eastAsia="fr-FR"/>
        </w:rPr>
        <w:t xml:space="preserve"> ceux qui en sont expressément exclus par la loi</w:t>
      </w:r>
      <w:r w:rsidR="001304F6" w:rsidRPr="00F90ED5">
        <w:rPr>
          <w:lang w:eastAsia="fr-FR"/>
        </w:rPr>
        <w:t>.</w:t>
      </w:r>
    </w:p>
    <w:p w14:paraId="54C9A4B1"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56C00D04" w14:textId="53375CEB" w:rsidR="00E642F7" w:rsidRPr="00F90ED5" w:rsidRDefault="00E642F7" w:rsidP="000138BB">
      <w:pPr>
        <w:rPr>
          <w:u w:val="single"/>
        </w:rPr>
      </w:pPr>
      <w:bookmarkStart w:id="5" w:name="_Toc172550905"/>
      <w:r w:rsidRPr="00F90ED5">
        <w:rPr>
          <w:u w:val="single"/>
        </w:rPr>
        <w:t>Les biens et droits immobiliers entrant dans l’assiette de l’IFI</w:t>
      </w:r>
      <w:bookmarkEnd w:id="5"/>
      <w:r w:rsidR="003B26F7" w:rsidRPr="00F90ED5">
        <w:rPr>
          <w:u w:val="single"/>
        </w:rPr>
        <w:t> :</w:t>
      </w:r>
    </w:p>
    <w:p w14:paraId="20C02FD1" w14:textId="77777777" w:rsidR="00E642F7" w:rsidRPr="00F90ED5" w:rsidRDefault="00E642F7" w:rsidP="0047315F">
      <w:pPr>
        <w:pStyle w:val="CGPC-elearning"/>
      </w:pPr>
      <w:r w:rsidRPr="00F90ED5">
        <w:t>L’assiette de l’IFI est constituée de l’ensemble des biens et droits immobiliers détenus directement ou indirectement quel que soit l’endroit où ils sont localisés qui, au 1</w:t>
      </w:r>
      <w:r w:rsidRPr="00F90ED5">
        <w:rPr>
          <w:vertAlign w:val="superscript"/>
        </w:rPr>
        <w:t>er</w:t>
      </w:r>
      <w:r w:rsidRPr="00F90ED5">
        <w:t> janvier de l’année d’imposition, composent le patrimoine du redevable et des membres du foyer fiscal :</w:t>
      </w:r>
    </w:p>
    <w:p w14:paraId="07F724D8" w14:textId="725E2909" w:rsidR="00E642F7" w:rsidRPr="00F90ED5" w:rsidRDefault="00E642F7" w:rsidP="009063DF">
      <w:pPr>
        <w:pStyle w:val="CGPC-elearning"/>
        <w:numPr>
          <w:ilvl w:val="0"/>
          <w:numId w:val="14"/>
        </w:numPr>
      </w:pPr>
      <w:r w:rsidRPr="00F90ED5">
        <w:t>Immeubles bâtis (à usage industriel, commercial, artisanal, agricole, libérale ou d’habitation).</w:t>
      </w:r>
      <w:r w:rsidR="00372EC8" w:rsidRPr="00F90ED5">
        <w:t xml:space="preserve"> </w:t>
      </w:r>
      <w:r w:rsidRPr="00F90ED5">
        <w:t>Peu importe qu’il s’agisse de la résidence principale ou secondaire.</w:t>
      </w:r>
    </w:p>
    <w:p w14:paraId="2F4D23A0" w14:textId="77777777" w:rsidR="00E642F7" w:rsidRPr="00F90ED5" w:rsidRDefault="00E642F7" w:rsidP="009063DF">
      <w:pPr>
        <w:pStyle w:val="CGPC-elearning"/>
        <w:numPr>
          <w:ilvl w:val="0"/>
          <w:numId w:val="14"/>
        </w:numPr>
      </w:pPr>
      <w:r w:rsidRPr="00F90ED5">
        <w:t>Les immeubles en construction</w:t>
      </w:r>
    </w:p>
    <w:p w14:paraId="3D5C6A98" w14:textId="77777777" w:rsidR="00E642F7" w:rsidRPr="00F90ED5" w:rsidRDefault="00E642F7" w:rsidP="009063DF">
      <w:pPr>
        <w:pStyle w:val="CGPC-elearning"/>
        <w:numPr>
          <w:ilvl w:val="0"/>
          <w:numId w:val="14"/>
        </w:numPr>
      </w:pPr>
      <w:r w:rsidRPr="00F90ED5">
        <w:t>Les droits réels immobiliers / usufruit, droit d’usage, droit du preneur d’un bail à construction</w:t>
      </w:r>
    </w:p>
    <w:p w14:paraId="1D722F46" w14:textId="77777777" w:rsidR="00E642F7" w:rsidRPr="00F90ED5" w:rsidRDefault="00E642F7" w:rsidP="009063DF">
      <w:pPr>
        <w:pStyle w:val="CGPC-elearning"/>
        <w:numPr>
          <w:ilvl w:val="0"/>
          <w:numId w:val="14"/>
        </w:numPr>
      </w:pPr>
      <w:r w:rsidRPr="00F90ED5">
        <w:lastRenderedPageBreak/>
        <w:t>Les parts de sociétés qui appartiennent au contribuable</w:t>
      </w:r>
    </w:p>
    <w:p w14:paraId="408C530B" w14:textId="77777777" w:rsidR="00E642F7" w:rsidRPr="00F90ED5" w:rsidRDefault="00E642F7" w:rsidP="009063DF">
      <w:pPr>
        <w:pStyle w:val="Paragraphedeliste"/>
        <w:numPr>
          <w:ilvl w:val="0"/>
          <w:numId w:val="14"/>
        </w:numPr>
      </w:pPr>
      <w:r w:rsidRPr="00F90ED5">
        <w:t>Les biens et droits immobiliers placés dans un trust ou transféré en fiducie</w:t>
      </w:r>
    </w:p>
    <w:p w14:paraId="673B142E" w14:textId="77777777" w:rsidR="00BA571C" w:rsidRPr="00F90ED5" w:rsidRDefault="00E642F7" w:rsidP="009063DF">
      <w:pPr>
        <w:pStyle w:val="Paragraphedeliste"/>
        <w:numPr>
          <w:ilvl w:val="0"/>
          <w:numId w:val="14"/>
        </w:numPr>
      </w:pPr>
      <w:r w:rsidRPr="00F90ED5">
        <w:t>Les immeubles classés ou inscrits aux monuments historiques</w:t>
      </w:r>
    </w:p>
    <w:p w14:paraId="13C5419F" w14:textId="77777777" w:rsidR="00BA571C" w:rsidRPr="00F90ED5" w:rsidRDefault="00E642F7" w:rsidP="009063DF">
      <w:pPr>
        <w:pStyle w:val="Paragraphedeliste"/>
        <w:numPr>
          <w:ilvl w:val="0"/>
          <w:numId w:val="14"/>
        </w:numPr>
      </w:pPr>
      <w:r w:rsidRPr="00F90ED5">
        <w:t>Le bail à construction (le preneur sur la valeur vénale des droits du bail ; le bailleur propriétaire pour la valeur vénale du terrain)</w:t>
      </w:r>
    </w:p>
    <w:p w14:paraId="05407B08" w14:textId="77777777" w:rsidR="00BA571C" w:rsidRPr="00F90ED5" w:rsidRDefault="00E642F7" w:rsidP="009063DF">
      <w:pPr>
        <w:pStyle w:val="Paragraphedeliste"/>
        <w:numPr>
          <w:ilvl w:val="0"/>
          <w:numId w:val="14"/>
        </w:numPr>
      </w:pPr>
      <w:r w:rsidRPr="00F90ED5">
        <w:t>Terrain à bâtir (terres de culture, bois et forêts, landes, marais, étang, carrière)</w:t>
      </w:r>
    </w:p>
    <w:p w14:paraId="2E1407A5" w14:textId="501D0B1F" w:rsidR="00E642F7" w:rsidRPr="00F90ED5" w:rsidRDefault="00E642F7" w:rsidP="009063DF">
      <w:pPr>
        <w:pStyle w:val="Paragraphedeliste"/>
        <w:numPr>
          <w:ilvl w:val="0"/>
          <w:numId w:val="14"/>
        </w:numPr>
      </w:pPr>
      <w:r w:rsidRPr="00F90ED5">
        <w:t xml:space="preserve">Biens acquis en </w:t>
      </w:r>
      <w:hyperlink w:anchor="Tontine" w:history="1">
        <w:r w:rsidRPr="00F90ED5">
          <w:rPr>
            <w:rStyle w:val="Lienhypertexte"/>
            <w:b/>
          </w:rPr>
          <w:t>tontine</w:t>
        </w:r>
      </w:hyperlink>
      <w:r w:rsidRPr="00F90ED5">
        <w:t xml:space="preserve"> (clause d’accroissement) sur des biens, droits réels immobiliers au prorata des sommes investies par chacun des survivants dans le contrat.</w:t>
      </w:r>
    </w:p>
    <w:p w14:paraId="5175FDE3" w14:textId="486E5297" w:rsidR="00E642F7" w:rsidRPr="00F90ED5" w:rsidRDefault="00BA571C" w:rsidP="009063DF">
      <w:pPr>
        <w:pStyle w:val="CGPC-elearning"/>
        <w:numPr>
          <w:ilvl w:val="0"/>
          <w:numId w:val="14"/>
        </w:numPr>
      </w:pPr>
      <w:r w:rsidRPr="00F90ED5">
        <w:t>Les contrats de crédit-bail immobilier pour la valeur des actifs immobiliers faisant l’objet du contrat sous déduction du montant des loyers et du montant de l’option d’achat restant à courir.</w:t>
      </w:r>
    </w:p>
    <w:p w14:paraId="3A241447" w14:textId="77777777" w:rsidR="002C33B3" w:rsidRPr="00F90ED5" w:rsidRDefault="002C33B3" w:rsidP="002C33B3">
      <w:pPr>
        <w:pStyle w:val="CGPC-elearning"/>
        <w:ind w:left="720"/>
      </w:pPr>
    </w:p>
    <w:p w14:paraId="3699C91A" w14:textId="77777777" w:rsidR="00E642F7" w:rsidRPr="00F90ED5" w:rsidRDefault="00E642F7" w:rsidP="0047315F">
      <w:pPr>
        <w:pStyle w:val="CGPC-elearning"/>
      </w:pPr>
      <w:r w:rsidRPr="00F90ED5">
        <w:t>NB / Les tontines financières (assurance) y compris investies en unité de compte contenant des biens ou droits immobiliers ne sont pas imposables à l’IFI.</w:t>
      </w:r>
    </w:p>
    <w:p w14:paraId="4C828C7E" w14:textId="77777777" w:rsidR="00E642F7" w:rsidRPr="00F90ED5" w:rsidRDefault="00E642F7" w:rsidP="0047315F">
      <w:pPr>
        <w:pStyle w:val="CGPC-elearning"/>
      </w:pPr>
      <w:r w:rsidRPr="00F90ED5">
        <w:t> </w:t>
      </w:r>
    </w:p>
    <w:p w14:paraId="475494FD" w14:textId="77777777" w:rsidR="00E642F7" w:rsidRPr="00F90ED5" w:rsidRDefault="00E642F7" w:rsidP="00583473">
      <w:pPr>
        <w:pStyle w:val="Titre4"/>
      </w:pPr>
      <w:bookmarkStart w:id="6" w:name="_Toc172550906"/>
      <w:r w:rsidRPr="00F90ED5">
        <w:t>Les biens détenus en démembrement</w:t>
      </w:r>
      <w:bookmarkEnd w:id="6"/>
    </w:p>
    <w:p w14:paraId="66B105F8" w14:textId="58D6637B" w:rsidR="00E642F7" w:rsidRPr="00F90ED5" w:rsidRDefault="00E642F7" w:rsidP="0047315F">
      <w:pPr>
        <w:pStyle w:val="CGPC-elearning"/>
      </w:pPr>
      <w:r w:rsidRPr="00F90ED5">
        <w:t>Des biens immobiliers détenus en démembrement de propriété grevés d’un usufruit, d’un droit d’habitation ou d’un droit d’usage accordé à titre personnel sont compris dans le patrimoine de l’usufruitier ou du titulaire du droit pour leur valeur en pleine propriété</w:t>
      </w:r>
      <w:r w:rsidR="002C33B3" w:rsidRPr="00F90ED5">
        <w:t>.</w:t>
      </w:r>
    </w:p>
    <w:p w14:paraId="7786CEF5" w14:textId="5C5DF60D" w:rsidR="00E642F7" w:rsidRPr="00F90ED5" w:rsidRDefault="00E642F7" w:rsidP="0047315F">
      <w:pPr>
        <w:pStyle w:val="CGPC-elearning"/>
      </w:pPr>
      <w:r w:rsidRPr="00F90ED5">
        <w:t>La constitution d’un droit d’usage ou d’habitation opère un démembrement analogue à celui de l’usufruit.</w:t>
      </w:r>
    </w:p>
    <w:p w14:paraId="6B00213F" w14:textId="1C40C5E9" w:rsidR="00E642F7" w:rsidRPr="00F90ED5" w:rsidRDefault="00E642F7" w:rsidP="0047315F">
      <w:pPr>
        <w:pStyle w:val="CGPC-elearning"/>
      </w:pPr>
      <w:r w:rsidRPr="00F90ED5">
        <w:t>Le droit viager d’habitation du conjoint survivant est imposé entre les mains du bénéficiaire conformément au principe, sur la valeur en pleine propriété.</w:t>
      </w:r>
    </w:p>
    <w:p w14:paraId="7C529547" w14:textId="746CB510" w:rsidR="00E642F7" w:rsidRPr="00F90ED5" w:rsidRDefault="00E642F7" w:rsidP="0047315F">
      <w:pPr>
        <w:pStyle w:val="CGPC-elearning"/>
        <w:rPr>
          <w:rFonts w:eastAsiaTheme="minorHAnsi"/>
          <w:lang w:eastAsia="fr-FR"/>
        </w:rPr>
      </w:pPr>
      <w:r w:rsidRPr="00F90ED5">
        <w:t>Le droit temporaire au logement sur l’habitation principale échappe à l’IFI sous condition que le conjoint survivant, à l’époque du décès, occupait le logement à titre d’habitation principale.</w:t>
      </w:r>
    </w:p>
    <w:p w14:paraId="0735AFB8" w14:textId="77777777" w:rsidR="00E642F7" w:rsidRPr="00F90ED5" w:rsidRDefault="00E642F7" w:rsidP="00583473">
      <w:pPr>
        <w:pStyle w:val="Titre4"/>
      </w:pPr>
      <w:bookmarkStart w:id="7" w:name="_Toc172550907"/>
      <w:r w:rsidRPr="00F90ED5">
        <w:lastRenderedPageBreak/>
        <w:t>Pour les démembrements d’origine successorale :</w:t>
      </w:r>
      <w:bookmarkEnd w:id="7"/>
    </w:p>
    <w:p w14:paraId="50A2E303" w14:textId="7A4E3FAE" w:rsidR="00E642F7" w:rsidRPr="00F90ED5" w:rsidRDefault="00E642F7" w:rsidP="0047315F">
      <w:pPr>
        <w:pStyle w:val="CGPC-elearning"/>
      </w:pPr>
      <w:r w:rsidRPr="00F90ED5">
        <w:t>Une distinction doit être faite entre selon que le conjoint survivant est titulaire d’un droit légal ou d’un droit conventionnel :</w:t>
      </w:r>
    </w:p>
    <w:p w14:paraId="13EBBCE3" w14:textId="0E3CE240" w:rsidR="00E642F7" w:rsidRPr="00F90ED5" w:rsidRDefault="00E642F7" w:rsidP="0047315F">
      <w:pPr>
        <w:pStyle w:val="CGPC-elearning"/>
      </w:pPr>
      <w:r w:rsidRPr="00F90ED5">
        <w:rPr>
          <w:b/>
        </w:rPr>
        <w:t>S’il n’y a pas de donation entre époux</w:t>
      </w:r>
      <w:r w:rsidRPr="00F90ED5">
        <w:t xml:space="preserve"> (usufruit légal)</w:t>
      </w:r>
      <w:r w:rsidR="00737F86" w:rsidRPr="00F90ED5">
        <w:t> :</w:t>
      </w:r>
      <w:r w:rsidRPr="00F90ED5">
        <w:t xml:space="preserve"> l’usufruitier devra déclarer la valeur de son usufruit à l’IFI. Le nu propriétaire devra déclarer la valeur de sa nue-propriété à l’IFI.</w:t>
      </w:r>
    </w:p>
    <w:p w14:paraId="604F3704" w14:textId="0F2B87B5" w:rsidR="00E642F7" w:rsidRPr="00F90ED5" w:rsidRDefault="00E642F7" w:rsidP="0047315F">
      <w:pPr>
        <w:pStyle w:val="CGPC-elearning"/>
      </w:pPr>
      <w:r w:rsidRPr="00F90ED5">
        <w:rPr>
          <w:b/>
        </w:rPr>
        <w:t>S’il y a application d’une donation entre époux</w:t>
      </w:r>
      <w:r w:rsidRPr="00F90ED5">
        <w:t xml:space="preserve"> (usufruit conventionnel)</w:t>
      </w:r>
      <w:r w:rsidR="00737F86" w:rsidRPr="00F90ED5">
        <w:t> : c</w:t>
      </w:r>
      <w:r w:rsidRPr="00F90ED5">
        <w:t>’est le conjoint survivant, usufruitier, qui devra déclarer à l’IFI les biens immobiliers pour leur valeur en pleine propriété.</w:t>
      </w:r>
    </w:p>
    <w:p w14:paraId="1554F152" w14:textId="1B6131E8" w:rsidR="00E642F7" w:rsidRPr="00F90ED5" w:rsidRDefault="00E642F7" w:rsidP="0047315F">
      <w:pPr>
        <w:pStyle w:val="CGPC-elearning"/>
      </w:pPr>
      <w:r w:rsidRPr="00F90ED5">
        <w:t>Ainsi les parents qui cèdent de leur vivant la nue-propriété de logements à leurs enfants (parents qui deviennent donc usufruitiers de ces logements) peuvent continuer à déclarer la valeur de ces biens en pleine propriété, comme c’était le cas avec l’Impôt de Solidarité sur la Fortune</w:t>
      </w:r>
    </w:p>
    <w:p w14:paraId="76BA8F22" w14:textId="77777777" w:rsidR="00E642F7" w:rsidRPr="00F90ED5" w:rsidRDefault="00E642F7" w:rsidP="00583473">
      <w:pPr>
        <w:pStyle w:val="Titre4"/>
      </w:pPr>
      <w:bookmarkStart w:id="8" w:name="_Toc172550908"/>
      <w:r w:rsidRPr="00F90ED5">
        <w:t>Pour les démembrements résultants de la vente de la nue-propriété</w:t>
      </w:r>
      <w:bookmarkEnd w:id="8"/>
    </w:p>
    <w:p w14:paraId="6E11FBF7" w14:textId="77777777" w:rsidR="00E642F7" w:rsidRPr="00F90ED5" w:rsidRDefault="00E642F7" w:rsidP="00E642F7">
      <w:r w:rsidRPr="00F90ED5">
        <w:t>L’usufruitier est imposé sur la seule valeur de l’usufruit si Le démembrement de propriété résulte de la vente d’un bien dont le vendeur s’est réservé l’usufruit, le droit d’usage ou d’habitation et que l’acquéreur n’a pas la qualité d’héritier présomptif, donataires ou légataires</w:t>
      </w:r>
    </w:p>
    <w:p w14:paraId="42FC333C"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60464C0D" w14:textId="77777777" w:rsidR="00E642F7" w:rsidRPr="00F90ED5" w:rsidRDefault="00E642F7" w:rsidP="0047315F">
      <w:pPr>
        <w:pStyle w:val="CGPC-elearning"/>
      </w:pPr>
      <w:r w:rsidRPr="00F90ED5">
        <w:t>Ou si l’usufruit ou le droit d’usage ou d’habitation a été réservé par le donateur d’un bien ayant fait l’objet d’un don ou legs à l’État, aux départements, aux communes ou syndicats de communes et à leurs établissements publics, aux établissements publics nationaux à caractère administratif et aux associations reconnues d’utilité publique. Dans ces cas le principe d’imposition de l’usufruitier ne s’applique pas sur la valeur de la pleine propriété.</w:t>
      </w:r>
    </w:p>
    <w:p w14:paraId="03E084F7"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57599CF8" w14:textId="77777777" w:rsidR="00E642F7" w:rsidRPr="00F90ED5" w:rsidRDefault="00E642F7" w:rsidP="00583473">
      <w:pPr>
        <w:pStyle w:val="Titre4"/>
      </w:pPr>
      <w:bookmarkStart w:id="9" w:name="_Toc172550909"/>
      <w:r w:rsidRPr="00F90ED5">
        <w:t>Les titres de sociétés immobilières entrant dans l’assiette de l’IFI</w:t>
      </w:r>
      <w:bookmarkEnd w:id="9"/>
    </w:p>
    <w:p w14:paraId="23E7BA80" w14:textId="77777777" w:rsidR="00E642F7" w:rsidRPr="00F90ED5" w:rsidRDefault="00E642F7" w:rsidP="0047315F">
      <w:pPr>
        <w:pStyle w:val="CGPC-elearning"/>
      </w:pPr>
      <w:r w:rsidRPr="00F90ED5">
        <w:t>L’assiette de L’IFI comprend la fraction de la valeur des parts ou actions des sociétés ou organismes pour leur fraction représentative de biens et droits immobiliers détenus directement ou indirectement par la société ou l’organisme. (OPCI /SICAV/FCP dont l’actif est purement immobilier)</w:t>
      </w:r>
    </w:p>
    <w:p w14:paraId="0BEA8344" w14:textId="57B5BCEC" w:rsidR="00E642F7" w:rsidRPr="00F90ED5" w:rsidRDefault="00E642F7" w:rsidP="0047315F">
      <w:pPr>
        <w:pStyle w:val="CGPC-elearning"/>
      </w:pPr>
      <w:r w:rsidRPr="00F90ED5">
        <w:t>Seuls sont exclus de l’assiette de l’IFI</w:t>
      </w:r>
      <w:r w:rsidR="00CD7C90" w:rsidRPr="00F90ED5">
        <w:t> :</w:t>
      </w:r>
    </w:p>
    <w:p w14:paraId="3EBA751C" w14:textId="77777777" w:rsidR="00E642F7" w:rsidRPr="00F90ED5" w:rsidRDefault="00E642F7" w:rsidP="009063DF">
      <w:pPr>
        <w:pStyle w:val="CGPC-elearning"/>
        <w:numPr>
          <w:ilvl w:val="0"/>
          <w:numId w:val="15"/>
        </w:numPr>
      </w:pPr>
      <w:r w:rsidRPr="00F90ED5">
        <w:lastRenderedPageBreak/>
        <w:t>Les participations de moins de 10% du capital et des droits de vote des sociétés </w:t>
      </w:r>
      <w:r w:rsidRPr="00F90ED5">
        <w:rPr>
          <w:b/>
        </w:rPr>
        <w:t>opérationnelles</w:t>
      </w:r>
      <w:r w:rsidRPr="00F90ED5">
        <w:t> (sociétés d’investissement immobilier cotées) : SIIC</w:t>
      </w:r>
    </w:p>
    <w:p w14:paraId="122B8FDC" w14:textId="77777777" w:rsidR="00E642F7" w:rsidRPr="00F90ED5" w:rsidRDefault="00E642F7" w:rsidP="009063DF">
      <w:pPr>
        <w:pStyle w:val="CGPC-elearning"/>
        <w:numPr>
          <w:ilvl w:val="0"/>
          <w:numId w:val="15"/>
        </w:numPr>
      </w:pPr>
      <w:r w:rsidRPr="00F90ED5">
        <w:t>Les participations de moins de 5% dans des </w:t>
      </w:r>
      <w:r w:rsidRPr="00F90ED5">
        <w:rPr>
          <w:b/>
        </w:rPr>
        <w:t>sociétés d’investissements immobiliers cotées.</w:t>
      </w:r>
      <w:r w:rsidRPr="00F90ED5">
        <w:t> Cette exonération s’applique aux actions détenues directement ou indirectement par le redevable, ainsi qu’aux titres détenus par l’intermédiaire d’un organisme de placement collectif et à ceux logés dans un contrat d’assurance vie rachetable ou d’un bon de capitalisation.</w:t>
      </w:r>
    </w:p>
    <w:p w14:paraId="2C3AB8D9" w14:textId="77777777" w:rsidR="00E642F7" w:rsidRPr="00F90ED5" w:rsidRDefault="00E642F7" w:rsidP="0047315F">
      <w:pPr>
        <w:pStyle w:val="CGPC-elearning"/>
      </w:pPr>
      <w:r w:rsidRPr="00F90ED5">
        <w:t> </w:t>
      </w:r>
    </w:p>
    <w:p w14:paraId="63D23313" w14:textId="77777777" w:rsidR="00E642F7" w:rsidRPr="00F90ED5" w:rsidRDefault="00E642F7" w:rsidP="00583473">
      <w:pPr>
        <w:pStyle w:val="Titre4"/>
      </w:pPr>
      <w:bookmarkStart w:id="10" w:name="_Toc172550910"/>
      <w:r w:rsidRPr="00F90ED5">
        <w:t>L’Immobilier logé dans un contrat d’assurance vie</w:t>
      </w:r>
      <w:bookmarkEnd w:id="10"/>
      <w:r w:rsidRPr="00F90ED5">
        <w:t> </w:t>
      </w:r>
    </w:p>
    <w:p w14:paraId="11FE3C5E" w14:textId="77777777" w:rsidR="00E642F7" w:rsidRPr="00F90ED5" w:rsidRDefault="00E642F7" w:rsidP="0047315F">
      <w:pPr>
        <w:pStyle w:val="CGPC-elearning"/>
      </w:pPr>
      <w:r w:rsidRPr="00F90ED5">
        <w:t>La loi prévoit que la valeur d’un contrat d’assurance vie rachetable ou d’un bon de capitalisation exprimé en unité de compte est incluse dans le patrimoine du souscripteur à hauteur de la fraction de sa valeur représentative des actifs immobiliers détenus directement ou indirectement. Si les unités de compte à vocation immobilière représentent moins de 20% de la valeur de l’actif total ou si le contribuable détient moins de 10% des parts  du fonds, le redevable échappera à l’IFI.</w:t>
      </w:r>
    </w:p>
    <w:p w14:paraId="244978CA" w14:textId="31AB998D" w:rsidR="00E642F7" w:rsidRPr="00F90ED5" w:rsidRDefault="00E642F7">
      <w:pPr>
        <w:rPr>
          <w:rFonts w:cs="Open Sans"/>
          <w:bCs/>
          <w:kern w:val="2"/>
          <w:szCs w:val="36"/>
          <w:lang w:eastAsia="fr-FR"/>
          <w14:ligatures w14:val="standardContextual"/>
        </w:rPr>
      </w:pPr>
      <w:r w:rsidRPr="00F90ED5">
        <w:br w:type="page"/>
      </w:r>
    </w:p>
    <w:bookmarkStart w:id="11" w:name="_Toc172550911"/>
    <w:p w14:paraId="448C6BC8" w14:textId="59906BB2" w:rsidR="006B7742" w:rsidRPr="00F90ED5" w:rsidRDefault="006B7742" w:rsidP="006B7742">
      <w:r w:rsidRPr="00F90ED5">
        <w:rPr>
          <w:noProof/>
          <w14:ligatures w14:val="standardContextual"/>
        </w:rPr>
        <w:lastRenderedPageBreak/>
        <mc:AlternateContent>
          <mc:Choice Requires="wps">
            <w:drawing>
              <wp:anchor distT="0" distB="0" distL="114300" distR="114300" simplePos="0" relativeHeight="251662336" behindDoc="1" locked="0" layoutInCell="1" allowOverlap="1" wp14:anchorId="148063EF" wp14:editId="3E208099">
                <wp:simplePos x="0" y="0"/>
                <wp:positionH relativeFrom="column">
                  <wp:posOffset>-914400</wp:posOffset>
                </wp:positionH>
                <wp:positionV relativeFrom="paragraph">
                  <wp:posOffset>-168713</wp:posOffset>
                </wp:positionV>
                <wp:extent cx="15828579" cy="8683756"/>
                <wp:effectExtent l="0" t="0" r="21590" b="22225"/>
                <wp:wrapNone/>
                <wp:docPr id="388321315" name="Rectangle 5"/>
                <wp:cNvGraphicFramePr/>
                <a:graphic xmlns:a="http://schemas.openxmlformats.org/drawingml/2006/main">
                  <a:graphicData uri="http://schemas.microsoft.com/office/word/2010/wordprocessingShape">
                    <wps:wsp>
                      <wps:cNvSpPr/>
                      <wps:spPr>
                        <a:xfrm>
                          <a:off x="0" y="0"/>
                          <a:ext cx="15828579" cy="868375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E0F5C1" id="Rectangle 5" o:spid="_x0000_s1026" style="position:absolute;margin-left:-1in;margin-top:-13.3pt;width:1246.35pt;height:683.7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" fillcolor="#4472c4 [3204]" strokecolor="#09101d [484]" strokeweight="1pt"/>
            </w:pict>
          </mc:Fallback>
        </mc:AlternateContent>
      </w:r>
    </w:p>
    <w:p w14:paraId="29832B01" w14:textId="77777777" w:rsidR="006B7742" w:rsidRPr="00F90ED5" w:rsidRDefault="006B7742" w:rsidP="006B7742"/>
    <w:p w14:paraId="5FEB46AC" w14:textId="77777777" w:rsidR="006B7742" w:rsidRPr="00F90ED5" w:rsidRDefault="006B7742" w:rsidP="006B7742"/>
    <w:p w14:paraId="7570BC76" w14:textId="77777777" w:rsidR="006B7742" w:rsidRPr="00F90ED5" w:rsidRDefault="006B7742" w:rsidP="006B7742"/>
    <w:p w14:paraId="35AA284B" w14:textId="77777777" w:rsidR="006B7742" w:rsidRPr="00F90ED5" w:rsidRDefault="006B7742" w:rsidP="006B7742"/>
    <w:p w14:paraId="1D792D5E" w14:textId="77777777" w:rsidR="006B7742" w:rsidRPr="00F90ED5" w:rsidRDefault="006B7742" w:rsidP="006B7742"/>
    <w:p w14:paraId="1D4C4C31" w14:textId="77777777" w:rsidR="006B7742" w:rsidRPr="00F90ED5" w:rsidRDefault="006B7742" w:rsidP="006B7742"/>
    <w:p w14:paraId="7826F0DF" w14:textId="77777777" w:rsidR="006B7742" w:rsidRPr="00F90ED5" w:rsidRDefault="006B7742" w:rsidP="006B7742"/>
    <w:p w14:paraId="017742AF" w14:textId="77777777" w:rsidR="006B7742" w:rsidRPr="00F90ED5" w:rsidRDefault="006B7742" w:rsidP="006B7742"/>
    <w:p w14:paraId="615E9B2B" w14:textId="08F38663" w:rsidR="006B7742" w:rsidRPr="00F90ED5" w:rsidRDefault="001F256B" w:rsidP="006B7742">
      <w:pPr>
        <w:pStyle w:val="Titre1"/>
      </w:pPr>
      <w:r w:rsidRPr="00F90ED5">
        <w:t>Les régimes spéciaux</w:t>
      </w:r>
      <w:bookmarkEnd w:id="11"/>
    </w:p>
    <w:p w14:paraId="11D8B08C" w14:textId="77777777" w:rsidR="006B7742" w:rsidRPr="00F90ED5" w:rsidRDefault="006B7742" w:rsidP="0047315F">
      <w:pPr>
        <w:pStyle w:val="CGPC-elearning"/>
        <w:rPr>
          <w:rFonts w:eastAsiaTheme="majorEastAsia" w:cstheme="majorBidi"/>
          <w:sz w:val="48"/>
          <w:szCs w:val="32"/>
        </w:rPr>
      </w:pPr>
      <w:r w:rsidRPr="00F90ED5">
        <w:br w:type="page"/>
      </w:r>
    </w:p>
    <w:p w14:paraId="4049C369" w14:textId="39FB3E47" w:rsidR="00E642F7" w:rsidRPr="00F90ED5" w:rsidRDefault="001F256B" w:rsidP="009063DF">
      <w:pPr>
        <w:pStyle w:val="Titre3"/>
        <w:numPr>
          <w:ilvl w:val="0"/>
          <w:numId w:val="7"/>
        </w:numPr>
      </w:pPr>
      <w:bookmarkStart w:id="12" w:name="_Toc172550912"/>
      <w:r w:rsidRPr="00F90ED5">
        <w:lastRenderedPageBreak/>
        <w:t>Les biens professionnels exclus du champ de l’</w:t>
      </w:r>
      <w:proofErr w:type="spellStart"/>
      <w:r w:rsidRPr="00F90ED5">
        <w:t>ifi</w:t>
      </w:r>
      <w:bookmarkEnd w:id="12"/>
      <w:proofErr w:type="spellEnd"/>
    </w:p>
    <w:p w14:paraId="635EA221" w14:textId="77777777" w:rsidR="00E642F7" w:rsidRPr="00F90ED5" w:rsidRDefault="00E642F7" w:rsidP="00E642F7">
      <w:pPr>
        <w:spacing w:after="0" w:line="240" w:lineRule="auto"/>
        <w:textAlignment w:val="baseline"/>
        <w:rPr>
          <w:rFonts w:eastAsia="Times New Roman" w:cs="Open Sans"/>
          <w:b/>
          <w:bCs/>
          <w:color w:val="666666"/>
          <w:sz w:val="21"/>
          <w:szCs w:val="21"/>
          <w:u w:val="single"/>
          <w:bdr w:val="none" w:sz="0" w:space="0" w:color="auto" w:frame="1"/>
          <w:lang w:eastAsia="fr-FR"/>
        </w:rPr>
      </w:pPr>
    </w:p>
    <w:p w14:paraId="68DA56BA" w14:textId="0C5CE8E0" w:rsidR="00E642F7" w:rsidRPr="00F90ED5" w:rsidRDefault="00E642F7" w:rsidP="00583473">
      <w:pPr>
        <w:pStyle w:val="Titre4"/>
        <w:numPr>
          <w:ilvl w:val="0"/>
          <w:numId w:val="11"/>
        </w:numPr>
      </w:pPr>
      <w:bookmarkStart w:id="13" w:name="_Toc172550913"/>
      <w:r w:rsidRPr="00F90ED5">
        <w:t>Pour les immeubles affectés à une exploitation individuelle</w:t>
      </w:r>
      <w:bookmarkEnd w:id="13"/>
    </w:p>
    <w:p w14:paraId="1B3E17A2" w14:textId="77777777" w:rsidR="00E642F7" w:rsidRPr="00F90ED5" w:rsidRDefault="00E642F7" w:rsidP="00E642F7">
      <w:r w:rsidRPr="00F90ED5">
        <w:t>Les immeubles et droits immobiliers appartenant à des personnes qui exercent leur activité professionnelle sous la forme individuelle sont exonérés si les conditions suivantes sont réunies :</w:t>
      </w:r>
    </w:p>
    <w:p w14:paraId="381D5135" w14:textId="2981C431" w:rsidR="00E642F7" w:rsidRPr="00F90ED5" w:rsidRDefault="00E642F7" w:rsidP="009063DF">
      <w:pPr>
        <w:pStyle w:val="Paragraphedeliste"/>
        <w:numPr>
          <w:ilvl w:val="0"/>
          <w:numId w:val="16"/>
        </w:numPr>
      </w:pPr>
      <w:r w:rsidRPr="00F90ED5">
        <w:t>Les biens sont utilisés dans le cadre d’une activité principale industrielle, commerciale, artisanale, agricole ou libérale du redevable ou d’un membre de son foyer fiscal IFI.</w:t>
      </w:r>
    </w:p>
    <w:p w14:paraId="57C1304D" w14:textId="7250456B" w:rsidR="00E642F7" w:rsidRPr="00F90ED5" w:rsidRDefault="00E642F7" w:rsidP="009063DF">
      <w:pPr>
        <w:pStyle w:val="Paragraphedeliste"/>
        <w:numPr>
          <w:ilvl w:val="0"/>
          <w:numId w:val="16"/>
        </w:numPr>
      </w:pPr>
      <w:r w:rsidRPr="00F90ED5">
        <w:t>Les biens sont utilisés par leur propriétaire ou son conjoint, concubin ou partenaire de PACS et les enfants mineurs.</w:t>
      </w:r>
    </w:p>
    <w:p w14:paraId="2966CFD8" w14:textId="0C840DDD" w:rsidR="00E642F7" w:rsidRPr="00F90ED5" w:rsidRDefault="00E642F7" w:rsidP="009063DF">
      <w:pPr>
        <w:pStyle w:val="Paragraphedeliste"/>
        <w:numPr>
          <w:ilvl w:val="0"/>
          <w:numId w:val="16"/>
        </w:numPr>
      </w:pPr>
      <w:r w:rsidRPr="00F90ED5">
        <w:t>Les biens sont nécessaires à l’exercice de la profession.</w:t>
      </w:r>
    </w:p>
    <w:p w14:paraId="68404B16" w14:textId="77777777" w:rsidR="00E642F7" w:rsidRPr="00F90ED5" w:rsidRDefault="00E642F7" w:rsidP="009063DF">
      <w:pPr>
        <w:pStyle w:val="Paragraphedeliste"/>
        <w:numPr>
          <w:ilvl w:val="0"/>
          <w:numId w:val="16"/>
        </w:numPr>
      </w:pPr>
      <w:r w:rsidRPr="00F90ED5">
        <w:t>Sont également exonérés les titres que le redevable détient dans une société pour la fraction de leur valeur représentative des immeubles que celle-ci met à disposition du redevable pour les besoins de l’exercice de son activité.</w:t>
      </w:r>
    </w:p>
    <w:p w14:paraId="058D7EFC"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204D43EB" w14:textId="77777777" w:rsidR="00E642F7" w:rsidRPr="00F90ED5" w:rsidRDefault="00E642F7" w:rsidP="00583473">
      <w:pPr>
        <w:pStyle w:val="Titre4"/>
      </w:pPr>
      <w:bookmarkStart w:id="14" w:name="_Toc172550914"/>
      <w:r w:rsidRPr="00F90ED5">
        <w:t>Pour les immeubles affectés à l’activité d’une société</w:t>
      </w:r>
      <w:bookmarkEnd w:id="14"/>
    </w:p>
    <w:p w14:paraId="4F3354F4" w14:textId="3FDC0974" w:rsidR="00E642F7" w:rsidRPr="00F90ED5" w:rsidRDefault="00E642F7" w:rsidP="00E642F7">
      <w:r w:rsidRPr="00F90ED5">
        <w:t>Les biens et droits immobiliers et les parts ou actions représentatives de ces biens sont exonérés lorsque</w:t>
      </w:r>
      <w:r w:rsidR="0082067F" w:rsidRPr="00F90ED5">
        <w:t> :</w:t>
      </w:r>
    </w:p>
    <w:p w14:paraId="12BAEF60" w14:textId="02009F25" w:rsidR="00E642F7" w:rsidRPr="00F90ED5" w:rsidRDefault="00E642F7" w:rsidP="009063DF">
      <w:pPr>
        <w:pStyle w:val="Paragraphedeliste"/>
        <w:numPr>
          <w:ilvl w:val="0"/>
          <w:numId w:val="17"/>
        </w:numPr>
      </w:pPr>
      <w:r w:rsidRPr="00F90ED5">
        <w:t>Les immeubles sont affectés à l’activité d’une société dans laquelle le redevable exerce son activité professionnelle principale (associé d’une société de personne) ou des fonctions dirigeantes (associé dirigeant d’une société assujettie à l’IS) .</w:t>
      </w:r>
      <w:r w:rsidR="00E20590" w:rsidRPr="00F90ED5">
        <w:t xml:space="preserve"> </w:t>
      </w:r>
      <w:r w:rsidRPr="00F90ED5">
        <w:t>En cas de détention indirecte, l’exonération s’applique également, à la valeur des titres représentatifs de tels immeubles.</w:t>
      </w:r>
      <w:r w:rsidR="00A035B3" w:rsidRPr="00F90ED5">
        <w:t xml:space="preserve"> </w:t>
      </w:r>
      <w:r w:rsidRPr="00F90ED5">
        <w:t>Sont donc exonéré, les immeubles qui sont la propriété (directe ou indirecte) du redevable et qui sont loués ou mis à la disposition de la société de personne dans laquelle il exerce son activité professionnelle ou de la société qu’il dirige.</w:t>
      </w:r>
    </w:p>
    <w:p w14:paraId="2A3858B5" w14:textId="77777777" w:rsidR="00F10A18" w:rsidRPr="00F90ED5" w:rsidRDefault="00F10A18" w:rsidP="00F10A18">
      <w:pPr>
        <w:pStyle w:val="Paragraphedeliste"/>
      </w:pPr>
    </w:p>
    <w:p w14:paraId="287DF08C" w14:textId="16362803" w:rsidR="00E642F7" w:rsidRPr="00F90ED5" w:rsidRDefault="00F10A18" w:rsidP="009063DF">
      <w:pPr>
        <w:pStyle w:val="Paragraphedeliste"/>
        <w:numPr>
          <w:ilvl w:val="0"/>
          <w:numId w:val="18"/>
        </w:numPr>
      </w:pPr>
      <w:r w:rsidRPr="00F90ED5">
        <w:t>L</w:t>
      </w:r>
      <w:r w:rsidR="00E642F7" w:rsidRPr="00F90ED5">
        <w:t>es biens ou droits immobiliers détenus (directement ou indirectement) par une société opérationnelle dans laquelle le redevable détient (directement ou indirectement) des parts ou actions et affectés à l’activité opérationnelle d’une société du groupe.</w:t>
      </w:r>
    </w:p>
    <w:p w14:paraId="0281E6F5" w14:textId="77777777" w:rsidR="00E642F7" w:rsidRPr="00F90ED5" w:rsidRDefault="00E642F7" w:rsidP="00E642F7">
      <w:r w:rsidRPr="00F90ED5">
        <w:lastRenderedPageBreak/>
        <w:t>Dans tous les cas l’exonération est réservée aux actifs immobiliers que la société affecte à une activité industrielle, commerciale, artisanale, agricole ou libérale.</w:t>
      </w:r>
    </w:p>
    <w:p w14:paraId="48BD2DD3" w14:textId="77777777" w:rsidR="00E642F7" w:rsidRPr="00F90ED5" w:rsidRDefault="00E642F7" w:rsidP="00583473">
      <w:pPr>
        <w:pStyle w:val="Titre4"/>
      </w:pPr>
      <w:bookmarkStart w:id="15" w:name="_Toc172550915"/>
      <w:r w:rsidRPr="00F90ED5">
        <w:t>Pour les dirigeants d’une société soumis à l’IS</w:t>
      </w:r>
      <w:bookmarkEnd w:id="15"/>
      <w:r w:rsidRPr="00F90ED5">
        <w:t>  </w:t>
      </w:r>
    </w:p>
    <w:p w14:paraId="1C93E19A" w14:textId="77777777" w:rsidR="00E642F7" w:rsidRPr="00F90ED5" w:rsidRDefault="00E642F7" w:rsidP="00E642F7">
      <w:r w:rsidRPr="00F90ED5">
        <w:t>Les immeubles affectés à l’activité soumis de droit ou sur option, à l’impôt sur les sociétés peuvent être considérés comme des biens professionnels partiellement exonérés d’IFI lorsque le redevable dirige la société.</w:t>
      </w:r>
    </w:p>
    <w:p w14:paraId="7042A4A3" w14:textId="77777777" w:rsidR="00E642F7" w:rsidRPr="00F90ED5" w:rsidRDefault="00E642F7" w:rsidP="00E642F7">
      <w:r w:rsidRPr="00F90ED5">
        <w:t>Pour pouvoir bénéficier de l’exonération, le redevable doit exercer à titre principal dans la société une fonction de direction, selon le type de société, les dirigeants concernés sont :</w:t>
      </w:r>
    </w:p>
    <w:p w14:paraId="47B2FD4C" w14:textId="77777777" w:rsidR="00E642F7" w:rsidRPr="00F90ED5" w:rsidRDefault="00E642F7" w:rsidP="009063DF">
      <w:pPr>
        <w:pStyle w:val="Paragraphedeliste"/>
        <w:numPr>
          <w:ilvl w:val="0"/>
          <w:numId w:val="19"/>
        </w:numPr>
      </w:pPr>
      <w:r w:rsidRPr="00F90ED5">
        <w:t>Dans les SARL : les gérants de droit nommés conformément aux statuts.</w:t>
      </w:r>
    </w:p>
    <w:p w14:paraId="38AC1EA8" w14:textId="77777777" w:rsidR="00E642F7" w:rsidRPr="00F90ED5" w:rsidRDefault="00E642F7" w:rsidP="009063DF">
      <w:pPr>
        <w:pStyle w:val="Paragraphedeliste"/>
        <w:numPr>
          <w:ilvl w:val="0"/>
          <w:numId w:val="19"/>
        </w:numPr>
      </w:pPr>
      <w:r w:rsidRPr="00F90ED5">
        <w:t>Dans les sociétés anonymes : le président du conseil d’administration, le directeur général et les directeurs généraux délégués, les membres du directoire et le président du conseil de surveillance.</w:t>
      </w:r>
    </w:p>
    <w:p w14:paraId="3E20E8E6" w14:textId="77777777" w:rsidR="00E642F7" w:rsidRPr="00F90ED5" w:rsidRDefault="00E642F7" w:rsidP="009063DF">
      <w:pPr>
        <w:pStyle w:val="Paragraphedeliste"/>
        <w:numPr>
          <w:ilvl w:val="0"/>
          <w:numId w:val="19"/>
        </w:numPr>
      </w:pPr>
      <w:r w:rsidRPr="00F90ED5">
        <w:t>Les dirigeants de SAS peuvent également bénéficier de l’exonération de l’IFI s’ils exercent des fonctions équivalentes à celles exercées par les dirigeants de SA.</w:t>
      </w:r>
    </w:p>
    <w:p w14:paraId="0F939F8B" w14:textId="77777777" w:rsidR="00E642F7" w:rsidRPr="00F90ED5" w:rsidRDefault="00E642F7" w:rsidP="009063DF">
      <w:pPr>
        <w:pStyle w:val="Paragraphedeliste"/>
        <w:numPr>
          <w:ilvl w:val="0"/>
          <w:numId w:val="19"/>
        </w:numPr>
      </w:pPr>
      <w:r w:rsidRPr="00F90ED5">
        <w:t>Dans les sociétés de personne soumises sur option à l’IS chacun des associés ; exerce des fonctions effectivement exercées</w:t>
      </w:r>
    </w:p>
    <w:p w14:paraId="5474F85F" w14:textId="77777777" w:rsidR="00780DB1" w:rsidRPr="00F90ED5" w:rsidRDefault="00780DB1" w:rsidP="00E642F7"/>
    <w:p w14:paraId="2D5C3EC3" w14:textId="08342B7C" w:rsidR="00E642F7" w:rsidRPr="00F90ED5" w:rsidRDefault="00E642F7" w:rsidP="00E642F7">
      <w:r w:rsidRPr="00F90ED5">
        <w:t>Les fonctions exercées doivent donner lieu à une rémunération normale, au regard des rémunération de même type versé au titre de fonction analogue représentant plus de 50% des revenus professionnels du redevable.</w:t>
      </w:r>
    </w:p>
    <w:p w14:paraId="46E07935" w14:textId="77777777" w:rsidR="00E642F7" w:rsidRPr="00F90ED5" w:rsidRDefault="00E642F7" w:rsidP="00E642F7">
      <w:r w:rsidRPr="00F90ED5">
        <w:t>Une participation minimale de 25% est en principe exigée des gérants minoritaires de SARL, sauf lorsque la valeur brute de leur participation excède 50% de la valeur brute du patrimoine total du redevable</w:t>
      </w:r>
    </w:p>
    <w:p w14:paraId="460E91D6" w14:textId="5EFEE2A5" w:rsidR="00E642F7" w:rsidRPr="00F90ED5" w:rsidRDefault="00E642F7" w:rsidP="00E642F7">
      <w:r w:rsidRPr="00F90ED5">
        <w:t>Lorsque les immeubles appartiennent à une société (telle une SCI) dans laquelle l’un des membres du foyer fiscal détient des titres, la valeur des parts détenues par le foyer fiscal est exonérée dans la limite du produit</w:t>
      </w:r>
      <w:r w:rsidR="004072A7" w:rsidRPr="00F90ED5">
        <w:t xml:space="preserve"> d</w:t>
      </w:r>
      <w:r w:rsidRPr="00F90ED5">
        <w:t>e la fraction de leur valeur représentative des immeubles loués ou mis à disposition de la société d’exploitation par l</w:t>
      </w:r>
      <w:r w:rsidR="00A33950" w:rsidRPr="00F90ED5">
        <w:t>a</w:t>
      </w:r>
      <w:r w:rsidRPr="00F90ED5">
        <w:t xml:space="preserve"> SCI</w:t>
      </w:r>
      <w:r w:rsidR="00A33950" w:rsidRPr="00F90ED5">
        <w:t xml:space="preserve"> e</w:t>
      </w:r>
      <w:r w:rsidRPr="00F90ED5">
        <w:t>t de la participation du redevable dans la société d’exploitation.</w:t>
      </w:r>
    </w:p>
    <w:p w14:paraId="37FD9FC6"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17E75163" w14:textId="77777777" w:rsidR="00E642F7" w:rsidRPr="00F90ED5" w:rsidRDefault="00E642F7" w:rsidP="00583473">
      <w:pPr>
        <w:pStyle w:val="Titre4"/>
      </w:pPr>
      <w:bookmarkStart w:id="16" w:name="_Toc172550916"/>
      <w:r w:rsidRPr="00F90ED5">
        <w:lastRenderedPageBreak/>
        <w:t>Évaluation des titres représentatifs d’immeubles</w:t>
      </w:r>
      <w:bookmarkEnd w:id="16"/>
    </w:p>
    <w:p w14:paraId="08C2B1FB" w14:textId="3DF7E8D5" w:rsidR="00E642F7" w:rsidRPr="00F90ED5" w:rsidRDefault="00E642F7" w:rsidP="00E642F7">
      <w:r w:rsidRPr="00F90ED5">
        <w:t>Dans le cadre de l’IFI, le redevable n’est imposable sur ses titres de sociétés qu’à raison de la fraction de leur valeur représentative de l’immobilier imposable détenu par la structure. Ainsi, à la valeur des titres du contribuable est appliqué un coefficient (ratio immobilier) correspondant au rapport entre </w:t>
      </w:r>
      <w:r w:rsidR="000C1FBE" w:rsidRPr="00F90ED5">
        <w:t>d</w:t>
      </w:r>
      <w:r w:rsidRPr="00F90ED5">
        <w:t>’un</w:t>
      </w:r>
      <w:r w:rsidR="000C1FBE" w:rsidRPr="00F90ED5">
        <w:t>e</w:t>
      </w:r>
      <w:r w:rsidRPr="00F90ED5">
        <w:t xml:space="preserve"> part, la valeur vénale réelle des biens ou droits immobiliers imposables et d’autre part, la valeur vénale r</w:t>
      </w:r>
      <w:r w:rsidR="00B40B87" w:rsidRPr="00F90ED5">
        <w:t>é</w:t>
      </w:r>
      <w:r w:rsidRPr="00F90ED5">
        <w:t>elle de l’ensemble des actifs de la société ou de l’organisme.</w:t>
      </w:r>
    </w:p>
    <w:p w14:paraId="4E9DF518" w14:textId="77777777" w:rsidR="002420D8" w:rsidRPr="00F90ED5" w:rsidRDefault="002420D8" w:rsidP="00E642F7"/>
    <w:p w14:paraId="303296C4" w14:textId="269C20AB" w:rsidR="00E642F7" w:rsidRPr="00F90ED5" w:rsidRDefault="00E642F7" w:rsidP="00E642F7">
      <w:r w:rsidRPr="00F90ED5">
        <w:t>Ex : Un redevable détient une participation de 20% dans la société A.</w:t>
      </w:r>
    </w:p>
    <w:p w14:paraId="1FCEB9F7" w14:textId="77777777" w:rsidR="00E642F7" w:rsidRPr="00F90ED5" w:rsidRDefault="00E642F7" w:rsidP="00E642F7">
      <w:r w:rsidRPr="00F90ED5">
        <w:t> Cette même société détient 2 540 000 € d’immeuble et 4 460 000 € d’autres actifs :</w:t>
      </w:r>
    </w:p>
    <w:p w14:paraId="58C10D9F" w14:textId="77777777" w:rsidR="00E642F7" w:rsidRPr="00F90ED5" w:rsidRDefault="00E642F7" w:rsidP="00E642F7">
      <w:r w:rsidRPr="00F90ED5">
        <w:t>                &gt;Le ratio immobilier est de 0.36 (2 540 000/ 7 000 €)</w:t>
      </w:r>
    </w:p>
    <w:p w14:paraId="01348540" w14:textId="77777777" w:rsidR="00E642F7" w:rsidRPr="00F90ED5" w:rsidRDefault="00E642F7" w:rsidP="00E642F7">
      <w:r w:rsidRPr="00F90ED5">
        <w:t>Par hypothèse la valeur de l’actif net de la société est de 6 000 000€</w:t>
      </w:r>
    </w:p>
    <w:p w14:paraId="56E89EB9" w14:textId="7CD4315D" w:rsidR="00E642F7" w:rsidRPr="00F90ED5" w:rsidRDefault="00E642F7" w:rsidP="00E642F7">
      <w:r w:rsidRPr="00F90ED5">
        <w:t xml:space="preserve">La valeur imposable </w:t>
      </w:r>
      <w:r w:rsidR="005127E4" w:rsidRPr="00F90ED5">
        <w:t>du</w:t>
      </w:r>
      <w:r w:rsidRPr="00F90ED5">
        <w:t xml:space="preserve"> redevable sera de</w:t>
      </w:r>
    </w:p>
    <w:p w14:paraId="351DFB12" w14:textId="77777777" w:rsidR="00E642F7" w:rsidRPr="00F90ED5" w:rsidRDefault="00E642F7" w:rsidP="00E642F7">
      <w:r w:rsidRPr="00F90ED5">
        <w:t> 432 000 € (6 000 € X 20% X0.36)</w:t>
      </w:r>
    </w:p>
    <w:p w14:paraId="5A35BB01" w14:textId="77777777" w:rsidR="00E642F7" w:rsidRPr="00F90ED5" w:rsidRDefault="00E642F7" w:rsidP="00E642F7">
      <w:r w:rsidRPr="00F90ED5">
        <w:t> </w:t>
      </w:r>
    </w:p>
    <w:p w14:paraId="5A53EA8E" w14:textId="77777777" w:rsidR="00E642F7" w:rsidRPr="00F90ED5" w:rsidRDefault="00E642F7" w:rsidP="00583473">
      <w:pPr>
        <w:pStyle w:val="Titre4"/>
      </w:pPr>
      <w:bookmarkStart w:id="17" w:name="_Toc172550917"/>
      <w:r w:rsidRPr="00F90ED5">
        <w:t>Pour les immeubles affectés à l’activité de loueur en meublé</w:t>
      </w:r>
      <w:bookmarkEnd w:id="17"/>
    </w:p>
    <w:p w14:paraId="605A3794" w14:textId="77777777" w:rsidR="00E642F7" w:rsidRPr="00F90ED5" w:rsidRDefault="00E642F7" w:rsidP="00E642F7">
      <w:r w:rsidRPr="00F90ED5">
        <w:t>Les immeubles détenus directement ou indirectement par le redevable et affectés à son activité de loueur en meublé sont totalement exonéré si :</w:t>
      </w:r>
    </w:p>
    <w:p w14:paraId="00131B7C" w14:textId="05D533CA" w:rsidR="00E642F7" w:rsidRPr="00F90ED5" w:rsidRDefault="00E642F7" w:rsidP="009063DF">
      <w:pPr>
        <w:pStyle w:val="Paragraphedeliste"/>
        <w:numPr>
          <w:ilvl w:val="0"/>
          <w:numId w:val="12"/>
        </w:numPr>
      </w:pPr>
      <w:r w:rsidRPr="00F90ED5">
        <w:t>l’activité exercé</w:t>
      </w:r>
      <w:r w:rsidR="00AF7D89" w:rsidRPr="00F90ED5">
        <w:t>e</w:t>
      </w:r>
      <w:r w:rsidRPr="00F90ED5">
        <w:t xml:space="preserve"> à titre principal réalise plus de 23 000 € de recette</w:t>
      </w:r>
      <w:r w:rsidR="00AF7D89" w:rsidRPr="00F90ED5">
        <w:t>s</w:t>
      </w:r>
      <w:r w:rsidRPr="00F90ED5">
        <w:t xml:space="preserve"> annuelle</w:t>
      </w:r>
      <w:r w:rsidR="00AF7D89" w:rsidRPr="00F90ED5">
        <w:t>s</w:t>
      </w:r>
    </w:p>
    <w:p w14:paraId="78121B0B" w14:textId="5F30713F" w:rsidR="00E642F7" w:rsidRPr="00F90ED5" w:rsidRDefault="00E642F7" w:rsidP="009063DF">
      <w:pPr>
        <w:pStyle w:val="Paragraphedeliste"/>
        <w:numPr>
          <w:ilvl w:val="0"/>
          <w:numId w:val="12"/>
        </w:numPr>
      </w:pPr>
      <w:r w:rsidRPr="00F90ED5">
        <w:t>le propriétaire retire de cette activité plus de 50% des revenus professionnels du foyer fiscal</w:t>
      </w:r>
    </w:p>
    <w:p w14:paraId="69A45B46"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614E71A8" w14:textId="1849EA47" w:rsidR="00E642F7" w:rsidRPr="00F90ED5" w:rsidRDefault="00E642F7" w:rsidP="00583473">
      <w:pPr>
        <w:pStyle w:val="Titre4"/>
      </w:pPr>
      <w:bookmarkStart w:id="18" w:name="_Toc172550918"/>
      <w:r w:rsidRPr="00F90ED5">
        <w:lastRenderedPageBreak/>
        <w:t>Pour les biens ruraux et bois et forêts exonérés</w:t>
      </w:r>
      <w:bookmarkEnd w:id="18"/>
    </w:p>
    <w:p w14:paraId="196B2315" w14:textId="77777777" w:rsidR="00E642F7" w:rsidRPr="00F90ED5" w:rsidRDefault="00E642F7" w:rsidP="00E642F7">
      <w:r w:rsidRPr="00F90ED5">
        <w:t>Les biens ruraux peuvent bénéficier de l’exonération d’IFI au titre des biens affectés à l’activité professionnelle dans le cadre de l’exploitation à titre individuel ou d’une entreprise agricole.</w:t>
      </w:r>
    </w:p>
    <w:p w14:paraId="3E2DA96E" w14:textId="2C4064B1" w:rsidR="00E642F7" w:rsidRPr="00F90ED5" w:rsidRDefault="00CE5C7C" w:rsidP="00E642F7">
      <w:r w:rsidRPr="00F90ED5">
        <w:t>Ils sont é</w:t>
      </w:r>
      <w:r w:rsidR="00E642F7" w:rsidRPr="00F90ED5">
        <w:t>galement exonéré</w:t>
      </w:r>
      <w:r w:rsidR="00A53B0D" w:rsidRPr="00F90ED5">
        <w:t>s</w:t>
      </w:r>
      <w:r w:rsidR="00E642F7" w:rsidRPr="00F90ED5">
        <w:t xml:space="preserve"> si le bien rural est donné à bail à long terme (au minimum 18 ans) à certain</w:t>
      </w:r>
      <w:r w:rsidR="009063DF" w:rsidRPr="00F90ED5">
        <w:t>s</w:t>
      </w:r>
      <w:r w:rsidR="00E642F7" w:rsidRPr="00F90ED5">
        <w:t xml:space="preserve"> membre</w:t>
      </w:r>
      <w:r w:rsidR="009063DF" w:rsidRPr="00F90ED5">
        <w:t>s</w:t>
      </w:r>
      <w:r w:rsidR="00E642F7" w:rsidRPr="00F90ED5">
        <w:t xml:space="preserve"> de sa famille (conjoint, pacsé, ascendant, descendant, frères et sœurs)</w:t>
      </w:r>
    </w:p>
    <w:p w14:paraId="78C9C1C4"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6F1B701D" w14:textId="77777777" w:rsidR="00E642F7" w:rsidRPr="00F90ED5" w:rsidRDefault="00E642F7" w:rsidP="00583473">
      <w:pPr>
        <w:pStyle w:val="Titre4"/>
      </w:pPr>
      <w:bookmarkStart w:id="19" w:name="_Toc172550919"/>
      <w:r w:rsidRPr="00F90ED5">
        <w:t>Sont partiellement exonérés d’IFI :</w:t>
      </w:r>
      <w:bookmarkEnd w:id="19"/>
    </w:p>
    <w:p w14:paraId="3605D224" w14:textId="7544864C" w:rsidR="00E642F7" w:rsidRPr="00F90ED5" w:rsidRDefault="00E42BD4" w:rsidP="00E642F7">
      <w:r w:rsidRPr="00F90ED5">
        <w:t>L</w:t>
      </w:r>
      <w:r w:rsidR="00E642F7" w:rsidRPr="00F90ED5">
        <w:t>es bois, les forêts pour les 3/4 de leur valeur, mis en régime d’exploitation normale pendant 30 ans (et sur certificat), ainsi que les parts de groupements forestiers pour les 3/4 de leur valeur également (des conditions d’application doivent être respectées) ;</w:t>
      </w:r>
      <w:r w:rsidR="00557F02" w:rsidRPr="00F90ED5">
        <w:t xml:space="preserve"> </w:t>
      </w:r>
      <w:r w:rsidR="00E642F7" w:rsidRPr="00F90ED5">
        <w:t>les biens ruraux loués par bail à long terme et les parts de GFA pour les 3/4 de leur valeur jusqu’à 101 897 € et pour moitié au-delà.</w:t>
      </w:r>
    </w:p>
    <w:p w14:paraId="185B792F" w14:textId="60E0FC75" w:rsidR="00E642F7" w:rsidRPr="00F90ED5" w:rsidRDefault="00E642F7" w:rsidP="00E642F7"/>
    <w:p w14:paraId="0844CC35" w14:textId="77777777" w:rsidR="00E642F7" w:rsidRPr="00F90ED5" w:rsidRDefault="00E642F7" w:rsidP="00E642F7">
      <w:r w:rsidRPr="00F90ED5">
        <w:t> </w:t>
      </w:r>
    </w:p>
    <w:p w14:paraId="525AAF58" w14:textId="769FBDAF" w:rsidR="00E642F7" w:rsidRPr="00F90ED5" w:rsidRDefault="001F256B" w:rsidP="0047315F">
      <w:pPr>
        <w:pStyle w:val="Titre3"/>
      </w:pPr>
      <w:bookmarkStart w:id="20" w:name="_Toc172550920"/>
      <w:r w:rsidRPr="00F90ED5">
        <w:t>Évaluation de l’assiette de l’</w:t>
      </w:r>
      <w:proofErr w:type="spellStart"/>
      <w:r w:rsidRPr="00F90ED5">
        <w:t>ifi</w:t>
      </w:r>
      <w:proofErr w:type="spellEnd"/>
      <w:r w:rsidRPr="00F90ED5">
        <w:t xml:space="preserve"> et passif déductible</w:t>
      </w:r>
      <w:bookmarkEnd w:id="20"/>
    </w:p>
    <w:p w14:paraId="7C05B59B"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0214F811"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797D6848" w14:textId="77777777" w:rsidR="00E642F7" w:rsidRPr="00F90ED5" w:rsidRDefault="00E642F7" w:rsidP="00583473">
      <w:pPr>
        <w:pStyle w:val="Titre4"/>
        <w:numPr>
          <w:ilvl w:val="0"/>
          <w:numId w:val="8"/>
        </w:numPr>
      </w:pPr>
      <w:bookmarkStart w:id="21" w:name="_Toc172550921"/>
      <w:r w:rsidRPr="00F90ED5">
        <w:t>Évaluation des biens immobiliers</w:t>
      </w:r>
      <w:bookmarkEnd w:id="21"/>
    </w:p>
    <w:p w14:paraId="5B1696A1" w14:textId="77777777" w:rsidR="00E642F7" w:rsidRPr="00F90ED5" w:rsidRDefault="00E642F7" w:rsidP="00E642F7">
      <w:r w:rsidRPr="00F90ED5">
        <w:t>En principe, les immeubles des redevables (quelle que soit leur nature : bâtis, non bâtis) de l’IFI sont estimés d’après leur valeur vénale réelle au 1er janvier de l’année d’imposition. La valeur déclarée est la valeur libre de toute occupation dès lors que le propriétaire a l’usage du bien, sauf s’il s’agit de sa résidence principale. Dans ce cas, il bénéficie d’un abattement dérogatoire et forfaitaire de 30 %.</w:t>
      </w:r>
    </w:p>
    <w:p w14:paraId="0C9D94CE" w14:textId="6CA8B8E7" w:rsidR="00E642F7" w:rsidRPr="00F90ED5" w:rsidRDefault="00E642F7" w:rsidP="00E642F7">
      <w:r w:rsidRPr="00F90ED5">
        <w:t xml:space="preserve">Depuis 2014, la DGFIP propose un service en ligne qui met à la disposition des particuliers des informations sur les transactions immobilières intervenues dans un secteur recherché sur une période donnée, en fonction de certains critères (type et superficie, numéro et type de </w:t>
      </w:r>
      <w:r w:rsidRPr="00F90ED5">
        <w:lastRenderedPageBreak/>
        <w:t>voie, indice de répétition, commune, section cadastrale, numéro de lot de copropriété, nombre de niveaux, périmètre et période de recherche, etc.).</w:t>
      </w:r>
    </w:p>
    <w:p w14:paraId="14624F0C" w14:textId="77777777" w:rsidR="00E642F7" w:rsidRPr="00F90ED5" w:rsidRDefault="00E642F7" w:rsidP="00E642F7">
      <w:r w:rsidRPr="00F90ED5">
        <w:t>Ces données doivent permettre aux particuliers d’estimer la valeur vénale de leur(s) bien(s), notamment dans le cadre de leur déclaration d’IFI.</w:t>
      </w:r>
    </w:p>
    <w:p w14:paraId="1DC5424B" w14:textId="152C6BCD" w:rsidR="00E642F7" w:rsidRPr="00F90ED5" w:rsidRDefault="00E642F7" w:rsidP="00E642F7">
      <w:r w:rsidRPr="00F90ED5">
        <w:t>Décote possible</w:t>
      </w:r>
      <w:r w:rsidR="001B0D2C" w:rsidRPr="00F90ED5">
        <w:t> ;</w:t>
      </w:r>
      <w:r w:rsidR="003B49DC" w:rsidRPr="00F90ED5">
        <w:t xml:space="preserve"> l</w:t>
      </w:r>
      <w:r w:rsidRPr="00F90ED5">
        <w:t>’administration fiscale admet en pratique d’appliquer une décote sur les biens immobiliers, dont le montant varie selon la qualification ou l’occupation du bien :</w:t>
      </w:r>
    </w:p>
    <w:p w14:paraId="338D077F" w14:textId="46809E7E" w:rsidR="00E642F7" w:rsidRPr="00F90ED5" w:rsidRDefault="00E642F7" w:rsidP="001B0D2C">
      <w:pPr>
        <w:pStyle w:val="Paragraphedeliste"/>
        <w:numPr>
          <w:ilvl w:val="0"/>
          <w:numId w:val="20"/>
        </w:numPr>
      </w:pPr>
      <w:r w:rsidRPr="00F90ED5">
        <w:t>30% sur la valeur vénale de l’immeuble occupé à titre de résidence principale. Attention les dettes relatives à la résidence principale sont déductibles qu’à hauteur du montant de la valeur de la résidence après abattement</w:t>
      </w:r>
    </w:p>
    <w:p w14:paraId="44655B38" w14:textId="41591838" w:rsidR="00E642F7" w:rsidRPr="00F90ED5" w:rsidRDefault="00641EB5" w:rsidP="001B0D2C">
      <w:pPr>
        <w:pStyle w:val="Paragraphedeliste"/>
        <w:numPr>
          <w:ilvl w:val="0"/>
          <w:numId w:val="20"/>
        </w:numPr>
      </w:pPr>
      <w:r w:rsidRPr="00F90ED5">
        <w:t>Au maximum à 20%</w:t>
      </w:r>
      <w:r w:rsidR="00E642F7" w:rsidRPr="00F90ED5">
        <w:t xml:space="preserve"> </w:t>
      </w:r>
      <w:r w:rsidRPr="00F90ED5">
        <w:t>pour</w:t>
      </w:r>
      <w:r w:rsidR="00E642F7" w:rsidRPr="00F90ED5">
        <w:t xml:space="preserve"> un bien donné en location</w:t>
      </w:r>
    </w:p>
    <w:p w14:paraId="0441A714" w14:textId="3F3E269F" w:rsidR="00E642F7" w:rsidRPr="00F90ED5" w:rsidRDefault="00E642F7" w:rsidP="001B0D2C">
      <w:pPr>
        <w:pStyle w:val="Paragraphedeliste"/>
        <w:numPr>
          <w:ilvl w:val="0"/>
          <w:numId w:val="20"/>
        </w:numPr>
      </w:pPr>
      <w:r w:rsidRPr="00F90ED5">
        <w:t xml:space="preserve">De </w:t>
      </w:r>
      <w:r w:rsidR="00641EB5" w:rsidRPr="00F90ED5">
        <w:t>5</w:t>
      </w:r>
      <w:r w:rsidRPr="00F90ED5">
        <w:t xml:space="preserve">% à </w:t>
      </w:r>
      <w:r w:rsidR="00641EB5" w:rsidRPr="00F90ED5">
        <w:t>3</w:t>
      </w:r>
      <w:r w:rsidRPr="00F90ED5">
        <w:t>0% sur la valeur vénale des parts de SCI</w:t>
      </w:r>
      <w:r w:rsidR="00641EB5" w:rsidRPr="00F90ED5">
        <w:t xml:space="preserve"> pour tenir compte de l’illiquidité des parts</w:t>
      </w:r>
    </w:p>
    <w:p w14:paraId="65B36C6D"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2F537A59" w14:textId="77777777" w:rsidR="00E642F7" w:rsidRPr="00F90ED5" w:rsidRDefault="00E642F7" w:rsidP="00583473">
      <w:pPr>
        <w:pStyle w:val="Titre4"/>
      </w:pPr>
      <w:bookmarkStart w:id="22" w:name="_Toc172550922"/>
      <w:r w:rsidRPr="00F90ED5">
        <w:t>Évaluation des titres cotés, SICAV et FCP</w:t>
      </w:r>
      <w:bookmarkEnd w:id="22"/>
    </w:p>
    <w:p w14:paraId="30897FA0" w14:textId="253B89D1" w:rsidR="00E642F7" w:rsidRPr="00F90ED5" w:rsidRDefault="00E642F7" w:rsidP="00E642F7">
      <w:r w:rsidRPr="00F90ED5">
        <w:t>Si la société est cotée, les valeurs mobilières sont évaluées obligatoirement par l’une des méthodes</w:t>
      </w:r>
      <w:r w:rsidR="002C136F">
        <w:t xml:space="preserve"> suivantes</w:t>
      </w:r>
      <w:r w:rsidRPr="00F90ED5">
        <w:t> :</w:t>
      </w:r>
    </w:p>
    <w:p w14:paraId="25F1E80E" w14:textId="75C56229" w:rsidR="00E642F7" w:rsidRPr="00F90ED5" w:rsidRDefault="00E642F7" w:rsidP="009063DF">
      <w:pPr>
        <w:pStyle w:val="Paragraphedeliste"/>
        <w:numPr>
          <w:ilvl w:val="0"/>
          <w:numId w:val="10"/>
        </w:numPr>
      </w:pPr>
      <w:r w:rsidRPr="00F90ED5">
        <w:t>Cours au comptant de la dernière cotation de l’année</w:t>
      </w:r>
    </w:p>
    <w:p w14:paraId="20B07F91" w14:textId="7822E513" w:rsidR="00E642F7" w:rsidRPr="00F90ED5" w:rsidRDefault="00E642F7" w:rsidP="009063DF">
      <w:pPr>
        <w:pStyle w:val="Paragraphedeliste"/>
        <w:numPr>
          <w:ilvl w:val="0"/>
          <w:numId w:val="10"/>
        </w:numPr>
      </w:pPr>
      <w:r w:rsidRPr="00F90ED5">
        <w:t>Ou moyenne des cours des trente derniers jours de séance</w:t>
      </w:r>
      <w:r w:rsidR="002C136F">
        <w:t>s</w:t>
      </w:r>
      <w:r w:rsidRPr="00F90ED5">
        <w:t xml:space="preserve"> de bourse</w:t>
      </w:r>
    </w:p>
    <w:p w14:paraId="2E1AAE13" w14:textId="77777777" w:rsidR="00E642F7" w:rsidRPr="00F90ED5" w:rsidRDefault="00E642F7" w:rsidP="00583473">
      <w:pPr>
        <w:pStyle w:val="Titre4"/>
      </w:pPr>
      <w:bookmarkStart w:id="23" w:name="_Toc172550923"/>
      <w:r w:rsidRPr="00F90ED5">
        <w:t>Évaluation des titres non cotés</w:t>
      </w:r>
      <w:bookmarkEnd w:id="23"/>
    </w:p>
    <w:p w14:paraId="5094E4EB" w14:textId="3857C3F9" w:rsidR="00E642F7" w:rsidRPr="00F90ED5" w:rsidRDefault="00E642F7" w:rsidP="00E642F7">
      <w:r w:rsidRPr="00F90ED5">
        <w:t xml:space="preserve">La jurisprudence précise que la valeur vénale des titres non cotés doit être déterminée en priorité par référence au prix fixé lors d’une autre transaction comparable. </w:t>
      </w:r>
      <w:r w:rsidR="002C136F" w:rsidRPr="00F90ED5">
        <w:t>À</w:t>
      </w:r>
      <w:r w:rsidRPr="00F90ED5">
        <w:t xml:space="preserve"> défaut par des méthodes alternatives :</w:t>
      </w:r>
    </w:p>
    <w:p w14:paraId="7B1EF94A" w14:textId="77777777" w:rsidR="00E642F7" w:rsidRPr="00F90ED5" w:rsidRDefault="00E642F7" w:rsidP="007E10CF">
      <w:pPr>
        <w:pStyle w:val="Paragraphedeliste"/>
        <w:numPr>
          <w:ilvl w:val="0"/>
          <w:numId w:val="21"/>
        </w:numPr>
      </w:pPr>
      <w:r w:rsidRPr="00F90ED5">
        <w:t>Valeur mathématique obtenue par actualisation de la valeur de l’actif net comptable</w:t>
      </w:r>
    </w:p>
    <w:p w14:paraId="6E4E77A1" w14:textId="77777777" w:rsidR="00E642F7" w:rsidRPr="00F90ED5" w:rsidRDefault="00E642F7" w:rsidP="007E10CF">
      <w:pPr>
        <w:pStyle w:val="Paragraphedeliste"/>
        <w:numPr>
          <w:ilvl w:val="0"/>
          <w:numId w:val="21"/>
        </w:numPr>
      </w:pPr>
      <w:r w:rsidRPr="00F90ED5">
        <w:t>Valeur de rendement établie par capitalisation du dividende</w:t>
      </w:r>
    </w:p>
    <w:p w14:paraId="53503D1E" w14:textId="77777777" w:rsidR="00E642F7" w:rsidRPr="00F90ED5" w:rsidRDefault="00E642F7" w:rsidP="007E10CF">
      <w:pPr>
        <w:pStyle w:val="Paragraphedeliste"/>
        <w:numPr>
          <w:ilvl w:val="0"/>
          <w:numId w:val="21"/>
        </w:numPr>
      </w:pPr>
      <w:r w:rsidRPr="00F90ED5">
        <w:t>Valeur de l’excédent brut d’exploitation (EBE), résultat d’exploitation (BE)</w:t>
      </w:r>
    </w:p>
    <w:p w14:paraId="31775454" w14:textId="38D4AC61" w:rsidR="00E642F7" w:rsidRPr="00F90ED5" w:rsidRDefault="00E642F7" w:rsidP="00E642F7">
      <w:r w:rsidRPr="00F90ED5">
        <w:t xml:space="preserve">Ces méthodes sont recensées dans un </w:t>
      </w:r>
      <w:hyperlink r:id="rId11" w:history="1">
        <w:r w:rsidRPr="00A92756">
          <w:rPr>
            <w:rStyle w:val="Lienhypertexte"/>
          </w:rPr>
          <w:t>guide de l’administration fiscale</w:t>
        </w:r>
      </w:hyperlink>
      <w:r w:rsidR="00A92756">
        <w:t>.</w:t>
      </w:r>
    </w:p>
    <w:p w14:paraId="536872DA" w14:textId="63050E16" w:rsidR="00E642F7" w:rsidRPr="00F90ED5" w:rsidRDefault="001F256B" w:rsidP="00583473">
      <w:pPr>
        <w:pStyle w:val="Titre4"/>
      </w:pPr>
      <w:bookmarkStart w:id="24" w:name="_Toc172550924"/>
      <w:r w:rsidRPr="00F90ED5">
        <w:lastRenderedPageBreak/>
        <w:t>Passif déductible</w:t>
      </w:r>
      <w:bookmarkEnd w:id="24"/>
    </w:p>
    <w:p w14:paraId="690B0968" w14:textId="77777777" w:rsidR="00E642F7" w:rsidRPr="00F90ED5" w:rsidRDefault="00E642F7" w:rsidP="008C7363">
      <w:r w:rsidRPr="00F90ED5">
        <w:t>L’IFI est calculé sur la valeur nette du patrimoine immobilier, après déduction des seules dettes immobilières contractées personnellement par le redevable ou un membre du foyer fiscal IFI.</w:t>
      </w:r>
    </w:p>
    <w:p w14:paraId="6774D06B" w14:textId="77777777" w:rsidR="00E642F7" w:rsidRPr="00F90ED5" w:rsidRDefault="00E642F7" w:rsidP="008C7363">
      <w:r w:rsidRPr="00F90ED5">
        <w:t>Certaines sommes peuvent être déduites de la valeur des biens entrant dans l’assiette de l’IFI. Il en va ainsi des dettes :</w:t>
      </w:r>
    </w:p>
    <w:p w14:paraId="076C7975" w14:textId="67315883" w:rsidR="00E642F7" w:rsidRPr="00F90ED5" w:rsidRDefault="00E642F7" w:rsidP="009063DF">
      <w:pPr>
        <w:pStyle w:val="Paragraphedeliste"/>
        <w:numPr>
          <w:ilvl w:val="0"/>
          <w:numId w:val="10"/>
        </w:numPr>
      </w:pPr>
      <w:r w:rsidRPr="00F90ED5">
        <w:t>existantes au 1</w:t>
      </w:r>
      <w:r w:rsidRPr="009455D4">
        <w:rPr>
          <w:vertAlign w:val="superscript"/>
        </w:rPr>
        <w:t>er</w:t>
      </w:r>
      <w:r w:rsidR="009455D4">
        <w:t xml:space="preserve"> </w:t>
      </w:r>
      <w:r w:rsidRPr="00F90ED5">
        <w:t>janvier de l’année d’imposition ;</w:t>
      </w:r>
    </w:p>
    <w:p w14:paraId="677C3626" w14:textId="282A39DE" w:rsidR="00E642F7" w:rsidRPr="00F90ED5" w:rsidRDefault="00E642F7" w:rsidP="009063DF">
      <w:pPr>
        <w:pStyle w:val="Paragraphedeliste"/>
        <w:numPr>
          <w:ilvl w:val="0"/>
          <w:numId w:val="10"/>
        </w:numPr>
      </w:pPr>
      <w:r w:rsidRPr="00F90ED5">
        <w:t>contractées par le redevable ;</w:t>
      </w:r>
    </w:p>
    <w:p w14:paraId="233635EF" w14:textId="6CAF742D" w:rsidR="00E642F7" w:rsidRPr="00F90ED5" w:rsidRDefault="00E642F7" w:rsidP="009063DF">
      <w:pPr>
        <w:pStyle w:val="Paragraphedeliste"/>
        <w:numPr>
          <w:ilvl w:val="0"/>
          <w:numId w:val="10"/>
        </w:numPr>
      </w:pPr>
      <w:r w:rsidRPr="00F90ED5">
        <w:t>effectivement supportées par lui ;</w:t>
      </w:r>
    </w:p>
    <w:p w14:paraId="16CDD3BB" w14:textId="77777777" w:rsidR="00410088" w:rsidRPr="00F90ED5" w:rsidRDefault="00410088" w:rsidP="008C7363">
      <w:r w:rsidRPr="00F90ED5">
        <w:t>Même si les conditions sont remplies, certaines dettes ne sont pas admises en déduction.</w:t>
      </w:r>
    </w:p>
    <w:p w14:paraId="71BFDB67" w14:textId="479BFC9C" w:rsidR="00E642F7" w:rsidRPr="00F90ED5" w:rsidRDefault="00410088" w:rsidP="008C7363">
      <w:r w:rsidRPr="00F90ED5">
        <w:t>Lorsque la valeur vénale des biens ou droits immobiliers et des parts ou actions taxables excède 5 millions d'euros et que le montant total des dettes déductibles excède 60 % de la valeur de ce patrimoine, le montant des dettes excédant le seuil de 60 % n'est admis en déduction qu'à hauteur de 50 %.</w:t>
      </w:r>
      <w:r w:rsidR="00D312EF" w:rsidRPr="00D312EF">
        <w:t xml:space="preserve"> Les dettes liées à l'achat ou à l'intérêt de biens entièrement exonérés ne peuvent pas être déduites</w:t>
      </w:r>
      <w:r w:rsidRPr="00F90ED5">
        <w:t>. Celles se rapportant à des biens partiellement exonérés ne sont déductibles qu’à hauteur de la part non exonérée (en appliquant à cette dette le pourcentage de non exonération du bien)</w:t>
      </w:r>
      <w:r w:rsidR="00F7226C">
        <w:t>.</w:t>
      </w:r>
    </w:p>
    <w:p w14:paraId="02A75528" w14:textId="12A8BC11" w:rsidR="00E642F7" w:rsidRPr="00F90ED5" w:rsidRDefault="00E642F7" w:rsidP="008C7363">
      <w:r w:rsidRPr="00F90ED5">
        <w:t>Les prêts prévoyant le remboursement du capital au terme du contrat (</w:t>
      </w:r>
      <w:r w:rsidRPr="004C1D8F">
        <w:rPr>
          <w:b/>
          <w:bCs/>
        </w:rPr>
        <w:t>prêt</w:t>
      </w:r>
      <w:r w:rsidR="00F7226C" w:rsidRPr="004C1D8F">
        <w:rPr>
          <w:b/>
          <w:bCs/>
        </w:rPr>
        <w:t>s</w:t>
      </w:r>
      <w:r w:rsidRPr="004C1D8F">
        <w:rPr>
          <w:b/>
          <w:bCs/>
        </w:rPr>
        <w:t xml:space="preserve"> in fine</w:t>
      </w:r>
      <w:r w:rsidRPr="00F90ED5">
        <w:t>) sont déductibles chaque année à hauteur du montant total de l’emprunt diminué d’une somme égale à ce même montant multiplié par le nombre d’année écoulées depuis le versement du prêt et divisé par le nombre d’années total de l’emprunt</w:t>
      </w:r>
      <w:r w:rsidR="004C1D8F">
        <w:t>.</w:t>
      </w:r>
    </w:p>
    <w:p w14:paraId="0641790B" w14:textId="77777777" w:rsidR="0056113C" w:rsidRDefault="00E642F7" w:rsidP="008C7363">
      <w:r w:rsidRPr="00F90ED5">
        <w:t>Ex</w:t>
      </w:r>
      <w:r w:rsidR="004C1D8F">
        <w:t>emple :</w:t>
      </w:r>
    </w:p>
    <w:p w14:paraId="687A89CA" w14:textId="18CD6208" w:rsidR="00E642F7" w:rsidRPr="00F90ED5" w:rsidRDefault="00E642F7" w:rsidP="008C7363">
      <w:r w:rsidRPr="00F90ED5">
        <w:t>un redevable a financé l’acquisition d’un bien immobilier par un prêt in fine en  20</w:t>
      </w:r>
      <w:r w:rsidR="00761CE5" w:rsidRPr="00F90ED5">
        <w:t>23</w:t>
      </w:r>
      <w:r w:rsidRPr="00F90ED5">
        <w:t xml:space="preserve"> d’un montant de 300 000 € pour une durée de 20 ans (terme 01/01/2036).</w:t>
      </w:r>
    </w:p>
    <w:p w14:paraId="4004F54F" w14:textId="120FE49F" w:rsidR="00E642F7" w:rsidRPr="00F90ED5" w:rsidRDefault="00E642F7" w:rsidP="008C7363">
      <w:r w:rsidRPr="00F90ED5">
        <w:t>Au 01 Janvier 20</w:t>
      </w:r>
      <w:r w:rsidR="00761CE5" w:rsidRPr="00F90ED5">
        <w:t>25</w:t>
      </w:r>
      <w:r w:rsidRPr="00F90ED5">
        <w:t xml:space="preserve"> le redevable déduira 270 000 € (300 000 X 2/20)</w:t>
      </w:r>
    </w:p>
    <w:p w14:paraId="1943A9E6" w14:textId="201FA1CB" w:rsidR="00E642F7" w:rsidRPr="00F90ED5" w:rsidRDefault="00E642F7" w:rsidP="008C7363">
      <w:r w:rsidRPr="00F90ED5">
        <w:t>Sont également déductibles des dettes afférentes à la propriété des biens immeubles</w:t>
      </w:r>
      <w:r w:rsidR="0056113C">
        <w:t> :</w:t>
      </w:r>
    </w:p>
    <w:p w14:paraId="53D999FF" w14:textId="6FD7F417" w:rsidR="00E642F7" w:rsidRPr="00F90ED5" w:rsidRDefault="002D5630" w:rsidP="009063DF">
      <w:pPr>
        <w:pStyle w:val="Paragraphedeliste"/>
        <w:numPr>
          <w:ilvl w:val="0"/>
          <w:numId w:val="10"/>
        </w:numPr>
      </w:pPr>
      <w:r w:rsidRPr="00F90ED5">
        <w:t>l</w:t>
      </w:r>
      <w:r w:rsidR="00E642F7" w:rsidRPr="00F90ED5">
        <w:t>es dépenses d’acquisition de biens ou de droits immobiliers</w:t>
      </w:r>
    </w:p>
    <w:p w14:paraId="5DF5A360" w14:textId="66C2EDDA" w:rsidR="00E642F7" w:rsidRPr="00F90ED5" w:rsidRDefault="00E642F7" w:rsidP="009063DF">
      <w:pPr>
        <w:pStyle w:val="Paragraphedeliste"/>
        <w:numPr>
          <w:ilvl w:val="0"/>
          <w:numId w:val="10"/>
        </w:numPr>
      </w:pPr>
      <w:r w:rsidRPr="00F90ED5">
        <w:t>les dépenses de réparation et d’entretien</w:t>
      </w:r>
    </w:p>
    <w:p w14:paraId="2E4B3173" w14:textId="77777777" w:rsidR="002D5630" w:rsidRPr="00F90ED5" w:rsidRDefault="00E642F7" w:rsidP="009063DF">
      <w:pPr>
        <w:pStyle w:val="Paragraphedeliste"/>
        <w:numPr>
          <w:ilvl w:val="0"/>
          <w:numId w:val="10"/>
        </w:numPr>
      </w:pPr>
      <w:r w:rsidRPr="00F90ED5">
        <w:t>les dépenses d’amélioration, de construction de reconstruction ou d’agrandissement</w:t>
      </w:r>
    </w:p>
    <w:p w14:paraId="5603F73F" w14:textId="3B50D940" w:rsidR="002D5630" w:rsidRPr="00F90ED5" w:rsidRDefault="00854FEF" w:rsidP="009063DF">
      <w:pPr>
        <w:pStyle w:val="Paragraphedeliste"/>
        <w:numPr>
          <w:ilvl w:val="0"/>
          <w:numId w:val="10"/>
        </w:numPr>
      </w:pPr>
      <w:r>
        <w:lastRenderedPageBreak/>
        <w:t>les</w:t>
      </w:r>
      <w:r w:rsidR="00E642F7" w:rsidRPr="00F90ED5">
        <w:t xml:space="preserve"> dépenses d’acquisition des parts ou actions</w:t>
      </w:r>
    </w:p>
    <w:p w14:paraId="36D67712" w14:textId="77777777" w:rsidR="002D5630" w:rsidRPr="00F90ED5" w:rsidRDefault="00E642F7" w:rsidP="009063DF">
      <w:pPr>
        <w:pStyle w:val="Paragraphedeliste"/>
        <w:numPr>
          <w:ilvl w:val="0"/>
          <w:numId w:val="10"/>
        </w:numPr>
      </w:pPr>
      <w:r w:rsidRPr="00F90ED5">
        <w:t>les emprunts immobiliers contractés pour l’acquisition de biens taxables</w:t>
      </w:r>
    </w:p>
    <w:p w14:paraId="78FFC264" w14:textId="6CB0F804" w:rsidR="002D5630" w:rsidRPr="00F90ED5" w:rsidRDefault="00854FEF" w:rsidP="009063DF">
      <w:pPr>
        <w:pStyle w:val="Paragraphedeliste"/>
        <w:numPr>
          <w:ilvl w:val="0"/>
          <w:numId w:val="10"/>
        </w:numPr>
      </w:pPr>
      <w:r>
        <w:t>l</w:t>
      </w:r>
      <w:r w:rsidR="00E642F7" w:rsidRPr="00F90ED5">
        <w:t>es charges de copropriété dues au 01 janvier de l’année d’imposition</w:t>
      </w:r>
    </w:p>
    <w:p w14:paraId="6E707C90" w14:textId="77609312" w:rsidR="00E642F7" w:rsidRPr="00F90ED5" w:rsidRDefault="00E642F7" w:rsidP="009063DF">
      <w:pPr>
        <w:pStyle w:val="Paragraphedeliste"/>
        <w:numPr>
          <w:ilvl w:val="0"/>
          <w:numId w:val="10"/>
        </w:numPr>
      </w:pPr>
      <w:r w:rsidRPr="00F90ED5">
        <w:t xml:space="preserve">les dettes fiscales (taxe foncière, taxe sur locaux vacants, </w:t>
      </w:r>
      <w:r w:rsidR="002D5630" w:rsidRPr="00F90ED5">
        <w:t>I</w:t>
      </w:r>
      <w:r w:rsidRPr="00F90ED5">
        <w:t>FI théorique)</w:t>
      </w:r>
    </w:p>
    <w:p w14:paraId="6C67A3CF" w14:textId="42D217D6" w:rsidR="00E642F7" w:rsidRPr="00F90ED5" w:rsidRDefault="00E642F7" w:rsidP="008C7363">
      <w:r w:rsidRPr="00F90ED5">
        <w:t xml:space="preserve">Il peut ainsi </w:t>
      </w:r>
      <w:r w:rsidR="00CF35E3" w:rsidRPr="00F90ED5">
        <w:t>s’agir</w:t>
      </w:r>
      <w:r w:rsidRPr="00F90ED5">
        <w:t> :</w:t>
      </w:r>
    </w:p>
    <w:p w14:paraId="5F043402" w14:textId="72070B60" w:rsidR="00E642F7" w:rsidRPr="00F90ED5" w:rsidRDefault="00CF35E3" w:rsidP="009063DF">
      <w:pPr>
        <w:pStyle w:val="Paragraphedeliste"/>
        <w:numPr>
          <w:ilvl w:val="0"/>
          <w:numId w:val="10"/>
        </w:numPr>
      </w:pPr>
      <w:r>
        <w:t>d</w:t>
      </w:r>
      <w:r w:rsidR="00E642F7" w:rsidRPr="00F90ED5">
        <w:t xml:space="preserve">es capitaux restants dus au titre d’emprunts (ainsi que </w:t>
      </w:r>
      <w:r w:rsidR="00424F4F">
        <w:t>d</w:t>
      </w:r>
      <w:r w:rsidR="00E642F7" w:rsidRPr="00F90ED5">
        <w:t>es intérêts échus et non payés) ;</w:t>
      </w:r>
    </w:p>
    <w:p w14:paraId="3F4C1BA6" w14:textId="0B869D89" w:rsidR="00E642F7" w:rsidRPr="00F90ED5" w:rsidRDefault="00CF35E3" w:rsidP="009063DF">
      <w:pPr>
        <w:pStyle w:val="Paragraphedeliste"/>
        <w:numPr>
          <w:ilvl w:val="0"/>
          <w:numId w:val="10"/>
        </w:numPr>
      </w:pPr>
      <w:r>
        <w:t>d</w:t>
      </w:r>
      <w:r w:rsidR="00E642F7" w:rsidRPr="00F90ED5">
        <w:t xml:space="preserve">es taxes foncières, </w:t>
      </w:r>
      <w:r w:rsidR="00424F4F">
        <w:t>de l’</w:t>
      </w:r>
      <w:r w:rsidR="00E642F7" w:rsidRPr="00F90ED5">
        <w:t>IFI lui-même… ;</w:t>
      </w:r>
    </w:p>
    <w:p w14:paraId="65CD90DC" w14:textId="4C533399" w:rsidR="00E642F7" w:rsidRPr="00F90ED5" w:rsidRDefault="00CF35E3" w:rsidP="009063DF">
      <w:pPr>
        <w:pStyle w:val="Paragraphedeliste"/>
        <w:numPr>
          <w:ilvl w:val="0"/>
          <w:numId w:val="10"/>
        </w:numPr>
      </w:pPr>
      <w:r>
        <w:t>d</w:t>
      </w:r>
      <w:r w:rsidR="00E642F7" w:rsidRPr="00F90ED5">
        <w:t>es dettes envers les entrepreneurs ou prestataires de services.</w:t>
      </w:r>
    </w:p>
    <w:p w14:paraId="787B52D1" w14:textId="77777777" w:rsidR="00AF0EA1" w:rsidRPr="00F90ED5" w:rsidRDefault="00AF0EA1" w:rsidP="00AF0EA1">
      <w:pPr>
        <w:pStyle w:val="Paragraphedeliste"/>
      </w:pPr>
    </w:p>
    <w:p w14:paraId="5F3980CE" w14:textId="77777777" w:rsidR="00AF0EA1" w:rsidRPr="00F90ED5" w:rsidRDefault="00AF0EA1" w:rsidP="00AF0EA1">
      <w:pPr>
        <w:pStyle w:val="Paragraphedeliste"/>
        <w:spacing w:after="0" w:line="240" w:lineRule="auto"/>
        <w:rPr>
          <w:rFonts w:ascii="Times New Roman" w:eastAsia="Times New Roman" w:hAnsi="Times New Roman" w:cs="Times New Roman"/>
          <w:szCs w:val="24"/>
          <w:lang w:eastAsia="en-GB"/>
        </w:rPr>
      </w:pPr>
    </w:p>
    <w:p w14:paraId="3C0F4616" w14:textId="16A63079" w:rsidR="00AF0EA1" w:rsidRPr="00F90ED5" w:rsidRDefault="00AF0EA1" w:rsidP="00AF0EA1">
      <w:pPr>
        <w:rPr>
          <w:rFonts w:eastAsia="Times New Roman" w:cs="Open Sans"/>
          <w:color w:val="000000"/>
          <w:szCs w:val="24"/>
          <w:u w:val="single"/>
          <w:bdr w:val="none" w:sz="0" w:space="0" w:color="auto" w:frame="1"/>
          <w:shd w:val="clear" w:color="auto" w:fill="FFFFFF"/>
          <w:lang w:eastAsia="en-GB"/>
        </w:rPr>
      </w:pPr>
      <w:r w:rsidRPr="00F90ED5">
        <w:rPr>
          <w:rFonts w:eastAsia="Times New Roman" w:cs="Open Sans"/>
          <w:color w:val="000000"/>
          <w:szCs w:val="24"/>
          <w:u w:val="single"/>
          <w:bdr w:val="none" w:sz="0" w:space="0" w:color="auto" w:frame="1"/>
          <w:shd w:val="clear" w:color="auto" w:fill="FFFFFF"/>
          <w:lang w:eastAsia="en-GB"/>
        </w:rPr>
        <w:t>Limitation de la déductibilité des dettes</w:t>
      </w:r>
    </w:p>
    <w:p w14:paraId="6E446E9D" w14:textId="397D9937" w:rsidR="00AF0EA1" w:rsidRPr="00F90ED5" w:rsidRDefault="00AF0EA1" w:rsidP="001E4AAA">
      <w:pPr>
        <w:spacing w:after="0" w:line="240" w:lineRule="auto"/>
        <w:rPr>
          <w:rFonts w:eastAsia="Times New Roman" w:cs="Open Sans"/>
          <w:color w:val="000000"/>
          <w:szCs w:val="24"/>
          <w:bdr w:val="none" w:sz="0" w:space="0" w:color="auto" w:frame="1"/>
          <w:shd w:val="clear" w:color="auto" w:fill="FFFFFF"/>
          <w:lang w:eastAsia="en-GB"/>
        </w:rPr>
      </w:pPr>
      <w:r w:rsidRPr="00F90ED5">
        <w:rPr>
          <w:rFonts w:eastAsia="Times New Roman" w:cs="Open Sans"/>
          <w:color w:val="000000"/>
          <w:szCs w:val="24"/>
          <w:bdr w:val="none" w:sz="0" w:space="0" w:color="auto" w:frame="1"/>
          <w:shd w:val="clear" w:color="auto" w:fill="FFFFFF"/>
          <w:lang w:eastAsia="en-GB"/>
        </w:rPr>
        <w:t>Lorsque la valeur vénale du patrimoine taxable est supérieure à 5 M € et que le montant des dettes excède 60 % de cette valeur, le montant des dettes excédant ce seuil n'est déductible qu'à hauteur de 50 % de cet excédent.</w:t>
      </w:r>
    </w:p>
    <w:p w14:paraId="191F36F6" w14:textId="77777777" w:rsidR="001E4AAA" w:rsidRPr="00F90ED5" w:rsidRDefault="001E4AAA" w:rsidP="0047315F">
      <w:pPr>
        <w:pStyle w:val="CGPC-elearning"/>
      </w:pPr>
    </w:p>
    <w:p w14:paraId="72DC150B" w14:textId="560AD11D" w:rsidR="0042565E" w:rsidRPr="00F90ED5" w:rsidRDefault="00AF0EA1" w:rsidP="0047315F">
      <w:pPr>
        <w:pStyle w:val="CGPC-elearning"/>
      </w:pPr>
      <w:r w:rsidRPr="00F90ED5">
        <w:t>Exemple</w:t>
      </w:r>
      <w:r w:rsidR="00925226">
        <w:t> :</w:t>
      </w:r>
    </w:p>
    <w:p w14:paraId="7809A3C7" w14:textId="5514105F" w:rsidR="00AF0EA1" w:rsidRPr="00F90ED5" w:rsidRDefault="00925226" w:rsidP="0047315F">
      <w:pPr>
        <w:pStyle w:val="CGPC-elearning"/>
        <w:rPr>
          <w:rFonts w:eastAsiaTheme="minorHAnsi"/>
          <w:color w:val="auto"/>
          <w:szCs w:val="36"/>
        </w:rPr>
      </w:pPr>
      <w:r>
        <w:t>u</w:t>
      </w:r>
      <w:r w:rsidR="00AF0EA1" w:rsidRPr="00F90ED5">
        <w:t>n redevable est propriétaire de biens immobiliers taxables</w:t>
      </w:r>
      <w:r>
        <w:t>,</w:t>
      </w:r>
      <w:r w:rsidR="00AF0EA1" w:rsidRPr="00F90ED5">
        <w:t xml:space="preserve"> d'une valeur brute de 8 M €</w:t>
      </w:r>
      <w:r w:rsidR="005146B9">
        <w:t>.</w:t>
      </w:r>
      <w:r w:rsidR="00AF0EA1" w:rsidRPr="00F90ED5">
        <w:t xml:space="preserve"> </w:t>
      </w:r>
      <w:r w:rsidR="005146B9">
        <w:t>I</w:t>
      </w:r>
      <w:r w:rsidR="00AF0EA1" w:rsidRPr="00F90ED5">
        <w:t>l a contracté des dettes pour leur acquisition d'un montant de 5 M €, représentant donc plus de 60 % de la valeur des biens (4,8 M €). L'excédent de 200 000 € n'est déductible qu'à hauteur de 50 %, soit 100 000 €. Le montant des dettes déductibles se trouve alors limité à 4,9 M €.</w:t>
      </w:r>
    </w:p>
    <w:p w14:paraId="799A94A5" w14:textId="77777777" w:rsidR="00AF0EA1" w:rsidRPr="00F90ED5" w:rsidRDefault="00AF0EA1" w:rsidP="00AF0EA1"/>
    <w:p w14:paraId="3757E6C5" w14:textId="77777777" w:rsidR="00AF0EA1" w:rsidRPr="00F90ED5" w:rsidRDefault="00AF0EA1" w:rsidP="0047315F">
      <w:pPr>
        <w:pStyle w:val="CGPC-elearning"/>
      </w:pPr>
    </w:p>
    <w:p w14:paraId="1A3B34CC"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6C6526A9" w14:textId="11DE6132" w:rsidR="00E642F7" w:rsidRPr="00F90ED5" w:rsidRDefault="001F256B" w:rsidP="00583473">
      <w:pPr>
        <w:pStyle w:val="Titre4"/>
      </w:pPr>
      <w:bookmarkStart w:id="25" w:name="_Toc172550925"/>
      <w:r w:rsidRPr="00F90ED5">
        <w:t>Passif non déductible</w:t>
      </w:r>
      <w:bookmarkEnd w:id="25"/>
    </w:p>
    <w:p w14:paraId="7F891634" w14:textId="77777777" w:rsidR="00E642F7" w:rsidRPr="00F90ED5" w:rsidRDefault="00E642F7" w:rsidP="008C7363">
      <w:r w:rsidRPr="00F90ED5">
        <w:t>Certaines dettes ne sont pas déductibles de la valeur des biens imposables à l’IFI.</w:t>
      </w:r>
    </w:p>
    <w:p w14:paraId="4925CFFC" w14:textId="77777777" w:rsidR="00E642F7" w:rsidRPr="00F90ED5" w:rsidRDefault="00E642F7" w:rsidP="008C7363">
      <w:r w:rsidRPr="00F90ED5">
        <w:t>Une clause « anti-abus » interdit de déduire certaines dettes de la valeur des titres représentative d’actifs immobiliers.</w:t>
      </w:r>
    </w:p>
    <w:p w14:paraId="4AA8E391" w14:textId="77777777" w:rsidR="00E642F7" w:rsidRPr="00F90ED5" w:rsidRDefault="00E642F7" w:rsidP="008C7363">
      <w:r w:rsidRPr="00F90ED5">
        <w:lastRenderedPageBreak/>
        <w:t>Ainsi, ne sont pas prises en compte les dettes contractées par les structures dans lesquelles le redevable détient des parts contractées :</w:t>
      </w:r>
    </w:p>
    <w:p w14:paraId="4C2F1687" w14:textId="77777777" w:rsidR="00E642F7" w:rsidRPr="00F90ED5" w:rsidRDefault="00E642F7" w:rsidP="00836DAC">
      <w:pPr>
        <w:pStyle w:val="Paragraphedeliste"/>
        <w:numPr>
          <w:ilvl w:val="0"/>
          <w:numId w:val="22"/>
        </w:numPr>
      </w:pPr>
      <w:r w:rsidRPr="00F90ED5">
        <w:t>pour l’acquisition d’immeubles imposable à un redevable ou d’un membre de son foyer fiscal qui contrôle la structure ;</w:t>
      </w:r>
    </w:p>
    <w:p w14:paraId="4580259D" w14:textId="77777777" w:rsidR="00E642F7" w:rsidRPr="00F90ED5" w:rsidRDefault="00E642F7" w:rsidP="00836DAC">
      <w:pPr>
        <w:pStyle w:val="Paragraphedeliste"/>
        <w:numPr>
          <w:ilvl w:val="0"/>
          <w:numId w:val="22"/>
        </w:numPr>
      </w:pPr>
      <w:r w:rsidRPr="00F90ED5">
        <w:t>auprès d’un redevable ou d’un membre de son foyer fiscal pour l’acquisition d’un bien ou droit immobilier imposable ou des dépenses afférentes à de tels actifs immobiliers, à proportion de la participation du redevable dans la structure ;</w:t>
      </w:r>
    </w:p>
    <w:p w14:paraId="26B5A2FD" w14:textId="331E343E" w:rsidR="00E642F7" w:rsidRPr="00F90ED5" w:rsidRDefault="00E642F7" w:rsidP="00836DAC">
      <w:pPr>
        <w:pStyle w:val="Paragraphedeliste"/>
        <w:numPr>
          <w:ilvl w:val="0"/>
          <w:numId w:val="22"/>
        </w:numPr>
      </w:pPr>
      <w:r w:rsidRPr="00F90ED5">
        <w:t>auprès d’une société contrôlée directement ou indirectement par un redevable, seul ou avec un membre de son foyer fiscal ou de son groupe familial, pour l’acquisition d’un bien ou droit immobilier ou pour des dépenses afférentes à ces actifs immobiliers</w:t>
      </w:r>
      <w:r w:rsidR="002109AE">
        <w:t xml:space="preserve">, </w:t>
      </w:r>
      <w:r w:rsidRPr="00F90ED5">
        <w:t>à proportion de la participation du redevable dans la structure.</w:t>
      </w:r>
    </w:p>
    <w:p w14:paraId="213A7CB5" w14:textId="77777777" w:rsidR="00E642F7" w:rsidRPr="00F90ED5" w:rsidRDefault="00E642F7" w:rsidP="008C7363">
      <w:r w:rsidRPr="00F90ED5">
        <w:t> </w:t>
      </w:r>
    </w:p>
    <w:p w14:paraId="5BCEF974" w14:textId="7598D5CE" w:rsidR="00E642F7" w:rsidRPr="00F90ED5" w:rsidRDefault="00E642F7" w:rsidP="008C7363">
      <w:r w:rsidRPr="00836DAC">
        <w:rPr>
          <w:b/>
          <w:bCs/>
        </w:rPr>
        <w:t>Attention</w:t>
      </w:r>
      <w:r w:rsidRPr="00F90ED5">
        <w:t> : ces exclusions ne s’appliquent pas si le redevable peut démontrer que ces dettes n’ont pas été contractées dans un objectif principalement fiscal.</w:t>
      </w:r>
    </w:p>
    <w:p w14:paraId="2E44BED8" w14:textId="44C2E82D" w:rsidR="00E642F7" w:rsidRDefault="00E642F7" w:rsidP="008C7363">
      <w:r w:rsidRPr="00F90ED5">
        <w:t>De même, sont exclus, sauf si le contribuable justifie du caractère normal des conditions du prêt</w:t>
      </w:r>
      <w:r w:rsidR="00FB0B97">
        <w:t>,</w:t>
      </w:r>
      <w:r w:rsidRPr="00F90ED5">
        <w:t xml:space="preserve"> les emprunts contractés par une société ou un organisme auprès d’une société contrôlée par la redevable, son foyer fiscal ou son groupe familial pour l’acquisition d’un bien ou droit immobilier imposable ou pour des dépenses afférentes à ces actifs, à proportion de la participation que détient cette personne dans la société ou l’organisme.</w:t>
      </w:r>
    </w:p>
    <w:p w14:paraId="1C0AE60A" w14:textId="77777777" w:rsidR="00A10DA7" w:rsidRPr="00A10DA7" w:rsidRDefault="00A10DA7" w:rsidP="00A10DA7">
      <w:pPr>
        <w:pStyle w:val="CGPC-elearning"/>
        <w:rPr>
          <w:lang w:eastAsia="en-US"/>
        </w:rPr>
      </w:pPr>
    </w:p>
    <w:p w14:paraId="1E5A26EF" w14:textId="77777777" w:rsidR="00E642F7" w:rsidRPr="00F90ED5" w:rsidRDefault="00E642F7" w:rsidP="008C7363">
      <w:r w:rsidRPr="00F90ED5">
        <w:t>Plafonnement des dettes :</w:t>
      </w:r>
    </w:p>
    <w:p w14:paraId="039456BA" w14:textId="5CC7AAB7" w:rsidR="00E642F7" w:rsidRPr="00F90ED5" w:rsidRDefault="00E642F7" w:rsidP="008C7363">
      <w:r w:rsidRPr="00F90ED5">
        <w:t>Cette déductibilité est plafonnée quand la valeur des biens taxables excède 5 millions d’euros, et que le montant total des dettes déductibles excède 60 % de cette valeur</w:t>
      </w:r>
      <w:r w:rsidR="00AA7210">
        <w:t>.</w:t>
      </w:r>
      <w:r w:rsidRPr="00F90ED5">
        <w:t xml:space="preserve"> </w:t>
      </w:r>
      <w:r w:rsidR="00AA7210">
        <w:t>L</w:t>
      </w:r>
      <w:r w:rsidRPr="00F90ED5">
        <w:t>e montant des dettes supérieur à ce seuil n’est admis en déduction qu’à hauteur de 50 %.</w:t>
      </w:r>
    </w:p>
    <w:p w14:paraId="6CCFBE03" w14:textId="77777777" w:rsidR="00E642F7" w:rsidRDefault="00E642F7" w:rsidP="008C7363">
      <w:r w:rsidRPr="00F90ED5">
        <w:t>Ce plafond ne s’applique cependant pas au redevable pouvant justifier que ces dettes n’ont pas été contractées dans un objectif principalement fiscal.</w:t>
      </w:r>
    </w:p>
    <w:p w14:paraId="353F1FCF" w14:textId="77777777" w:rsidR="00A10DA7" w:rsidRDefault="00A10DA7" w:rsidP="00A10DA7">
      <w:pPr>
        <w:pStyle w:val="CGPC-elearning"/>
        <w:rPr>
          <w:lang w:eastAsia="en-US"/>
        </w:rPr>
      </w:pPr>
    </w:p>
    <w:p w14:paraId="074862C6" w14:textId="77777777" w:rsidR="00A10DA7" w:rsidRPr="00A10DA7" w:rsidRDefault="00A10DA7" w:rsidP="00A10DA7">
      <w:pPr>
        <w:pStyle w:val="CGPC-elearning"/>
        <w:rPr>
          <w:lang w:eastAsia="en-US"/>
        </w:rPr>
      </w:pPr>
    </w:p>
    <w:p w14:paraId="78B96BE0" w14:textId="77777777" w:rsidR="00E642F7" w:rsidRPr="00F90ED5" w:rsidRDefault="00E642F7" w:rsidP="00E642F7">
      <w:pPr>
        <w:spacing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7C6C7B10" w14:textId="337D0D02" w:rsidR="00E642F7" w:rsidRPr="00F90ED5" w:rsidRDefault="001F256B" w:rsidP="0047315F">
      <w:pPr>
        <w:pStyle w:val="Titre3"/>
      </w:pPr>
      <w:bookmarkStart w:id="26" w:name="_Toc172550926"/>
      <w:r w:rsidRPr="00F90ED5">
        <w:lastRenderedPageBreak/>
        <w:t>Barème, réductions, plafonnement</w:t>
      </w:r>
      <w:bookmarkEnd w:id="26"/>
    </w:p>
    <w:p w14:paraId="58A85A52" w14:textId="77777777" w:rsidR="008C7363" w:rsidRPr="00F90ED5" w:rsidRDefault="008C7363" w:rsidP="00E642F7">
      <w:pPr>
        <w:spacing w:after="0" w:line="240" w:lineRule="auto"/>
        <w:textAlignment w:val="baseline"/>
        <w:rPr>
          <w:rFonts w:eastAsia="Times New Roman" w:cs="Open Sans"/>
          <w:color w:val="666666"/>
          <w:sz w:val="21"/>
          <w:szCs w:val="21"/>
          <w:lang w:eastAsia="fr-FR"/>
        </w:rPr>
      </w:pPr>
    </w:p>
    <w:p w14:paraId="68BA1D68" w14:textId="65077C90" w:rsidR="00E642F7" w:rsidRPr="00F90ED5" w:rsidRDefault="00E642F7" w:rsidP="0050543B">
      <w:r w:rsidRPr="00F90ED5">
        <w:t>Les personnes dont le patrimoine net taxable au 01 janvier est supérieur à 1 300 000 € sont soumises à l’IFI (barème inchangé)</w:t>
      </w:r>
      <w:r w:rsidRPr="00F90ED5">
        <w:br/>
        <w:t>(barème 202</w:t>
      </w:r>
      <w:r w:rsidR="001E4AAA" w:rsidRPr="00F90ED5">
        <w:t>5</w:t>
      </w:r>
      <w:r w:rsidRPr="00F90ED5">
        <w:t xml:space="preserve"> inchangé par rapport aux années précédentes)</w:t>
      </w:r>
    </w:p>
    <w:p w14:paraId="4706FDB7" w14:textId="77777777" w:rsidR="00E642F7" w:rsidRPr="00F90ED5" w:rsidRDefault="00E642F7" w:rsidP="008C7363">
      <w:r w:rsidRPr="00F90ED5">
        <w:t>Lorsque le patrimoine excède ce seuil, il est imposé selon un barème progressif à six tranches, Les taux d’imposition sont les suivants :</w:t>
      </w:r>
    </w:p>
    <w:p w14:paraId="724034A3" w14:textId="687613C6" w:rsidR="00E642F7" w:rsidRPr="00F90ED5" w:rsidRDefault="00E642F7" w:rsidP="001F256B">
      <w:pPr>
        <w:jc w:val="center"/>
      </w:pPr>
    </w:p>
    <w:p w14:paraId="71650D74" w14:textId="77777777" w:rsidR="001E4AAA" w:rsidRPr="00F90ED5" w:rsidRDefault="00E642F7" w:rsidP="008C7363">
      <w:r w:rsidRPr="00F90ED5">
        <w:t> </w:t>
      </w:r>
    </w:p>
    <w:tbl>
      <w:tblPr>
        <w:tblW w:w="0" w:type="auto"/>
        <w:tblCellSpacing w:w="1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767"/>
        <w:gridCol w:w="4582"/>
        <w:gridCol w:w="5020"/>
        <w:gridCol w:w="7634"/>
      </w:tblGrid>
      <w:tr w:rsidR="001E4AAA" w:rsidRPr="00F90ED5" w14:paraId="2B2FC8DD" w14:textId="77777777" w:rsidTr="001E4AAA">
        <w:trPr>
          <w:tblHeader/>
          <w:tblCellSpacing w:w="15" w:type="dxa"/>
        </w:trPr>
        <w:tc>
          <w:tcPr>
            <w:tcW w:w="0" w:type="auto"/>
            <w:gridSpan w:val="2"/>
            <w:tcBorders>
              <w:top w:val="nil"/>
              <w:left w:val="nil"/>
              <w:bottom w:val="single" w:sz="6" w:space="0" w:color="000000"/>
              <w:right w:val="nil"/>
            </w:tcBorders>
            <w:shd w:val="clear" w:color="auto" w:fill="C0C0C0"/>
            <w:tcMar>
              <w:top w:w="75" w:type="dxa"/>
              <w:left w:w="75" w:type="dxa"/>
              <w:bottom w:w="75" w:type="dxa"/>
              <w:right w:w="75" w:type="dxa"/>
            </w:tcMar>
            <w:vAlign w:val="center"/>
            <w:hideMark/>
          </w:tcPr>
          <w:p w14:paraId="4CC201B8" w14:textId="77777777" w:rsidR="001E4AAA" w:rsidRPr="00F90ED5" w:rsidRDefault="001E4AAA" w:rsidP="001E4AAA">
            <w:pPr>
              <w:spacing w:after="0" w:line="240" w:lineRule="auto"/>
              <w:rPr>
                <w:rFonts w:ascii="Times New Roman" w:eastAsia="Times New Roman" w:hAnsi="Times New Roman" w:cs="Times New Roman"/>
                <w:b/>
                <w:bCs/>
                <w:color w:val="006699"/>
                <w:szCs w:val="32"/>
                <w:lang w:eastAsia="en-GB"/>
              </w:rPr>
            </w:pPr>
            <w:r w:rsidRPr="00F90ED5">
              <w:rPr>
                <w:rFonts w:ascii="Fira Sans" w:eastAsia="Times New Roman" w:hAnsi="Fira Sans" w:cs="Times New Roman"/>
                <w:color w:val="000000"/>
                <w:szCs w:val="32"/>
                <w:bdr w:val="none" w:sz="0" w:space="0" w:color="auto" w:frame="1"/>
                <w:lang w:eastAsia="en-GB"/>
              </w:rPr>
              <w:t>Fraction de la valeur nette taxable du patrimoine</w:t>
            </w:r>
            <w:r w:rsidRPr="00F90ED5">
              <w:rPr>
                <w:rFonts w:ascii="Fira Sans" w:eastAsia="Times New Roman" w:hAnsi="Fira Sans" w:cs="Times New Roman"/>
                <w:color w:val="000000"/>
                <w:szCs w:val="32"/>
                <w:bdr w:val="none" w:sz="0" w:space="0" w:color="auto" w:frame="1"/>
                <w:lang w:eastAsia="en-GB"/>
              </w:rPr>
              <w:br/>
            </w:r>
          </w:p>
        </w:tc>
        <w:tc>
          <w:tcPr>
            <w:tcW w:w="0" w:type="auto"/>
            <w:tcBorders>
              <w:top w:val="nil"/>
              <w:left w:val="nil"/>
              <w:bottom w:val="single" w:sz="6" w:space="0" w:color="000000"/>
              <w:right w:val="nil"/>
            </w:tcBorders>
            <w:shd w:val="clear" w:color="auto" w:fill="C0C0C0"/>
            <w:tcMar>
              <w:top w:w="75" w:type="dxa"/>
              <w:left w:w="75" w:type="dxa"/>
              <w:bottom w:w="75" w:type="dxa"/>
              <w:right w:w="75" w:type="dxa"/>
            </w:tcMar>
            <w:hideMark/>
          </w:tcPr>
          <w:p w14:paraId="49C8BCF2" w14:textId="77777777" w:rsidR="001E4AAA" w:rsidRPr="00F90ED5" w:rsidRDefault="001E4AAA" w:rsidP="001E4AAA">
            <w:pPr>
              <w:spacing w:after="0" w:line="240" w:lineRule="auto"/>
              <w:rPr>
                <w:rFonts w:ascii="Times New Roman" w:eastAsia="Times New Roman" w:hAnsi="Times New Roman" w:cs="Times New Roman"/>
                <w:b/>
                <w:bCs/>
                <w:color w:val="006699"/>
                <w:szCs w:val="32"/>
                <w:lang w:eastAsia="en-GB"/>
              </w:rPr>
            </w:pPr>
            <w:r w:rsidRPr="00F90ED5">
              <w:rPr>
                <w:rFonts w:ascii="Fira Sans" w:eastAsia="Times New Roman" w:hAnsi="Fira Sans" w:cs="Times New Roman"/>
                <w:color w:val="000000"/>
                <w:szCs w:val="32"/>
                <w:bdr w:val="none" w:sz="0" w:space="0" w:color="auto" w:frame="1"/>
                <w:lang w:eastAsia="en-GB"/>
              </w:rPr>
              <w:t>Tarif applicable (en pourcentage)</w:t>
            </w:r>
            <w:r w:rsidRPr="00F90ED5">
              <w:rPr>
                <w:rFonts w:ascii="Fira Sans" w:eastAsia="Times New Roman" w:hAnsi="Fira Sans" w:cs="Times New Roman"/>
                <w:color w:val="000000"/>
                <w:szCs w:val="32"/>
                <w:bdr w:val="none" w:sz="0" w:space="0" w:color="auto" w:frame="1"/>
                <w:lang w:eastAsia="en-GB"/>
              </w:rPr>
              <w:br/>
            </w:r>
          </w:p>
        </w:tc>
        <w:tc>
          <w:tcPr>
            <w:tcW w:w="0" w:type="auto"/>
            <w:tcBorders>
              <w:top w:val="nil"/>
              <w:left w:val="nil"/>
              <w:bottom w:val="single" w:sz="6" w:space="0" w:color="000000"/>
              <w:right w:val="nil"/>
            </w:tcBorders>
            <w:shd w:val="clear" w:color="auto" w:fill="C0C0C0"/>
            <w:tcMar>
              <w:top w:w="75" w:type="dxa"/>
              <w:left w:w="75" w:type="dxa"/>
              <w:bottom w:w="75" w:type="dxa"/>
              <w:right w:w="75" w:type="dxa"/>
            </w:tcMar>
            <w:hideMark/>
          </w:tcPr>
          <w:p w14:paraId="3505663C" w14:textId="77777777" w:rsidR="001E4AAA" w:rsidRPr="00F90ED5" w:rsidRDefault="001E4AAA" w:rsidP="001E4AAA">
            <w:pPr>
              <w:spacing w:after="0" w:line="240" w:lineRule="auto"/>
              <w:rPr>
                <w:rFonts w:ascii="Times New Roman" w:eastAsia="Times New Roman" w:hAnsi="Times New Roman" w:cs="Times New Roman"/>
                <w:b/>
                <w:bCs/>
                <w:color w:val="006699"/>
                <w:szCs w:val="32"/>
                <w:lang w:eastAsia="en-GB"/>
              </w:rPr>
            </w:pPr>
            <w:r w:rsidRPr="00F90ED5">
              <w:rPr>
                <w:rFonts w:ascii="Fira Sans" w:eastAsia="Times New Roman" w:hAnsi="Fira Sans" w:cs="Times New Roman"/>
                <w:color w:val="000000"/>
                <w:szCs w:val="32"/>
                <w:bdr w:val="none" w:sz="0" w:space="0" w:color="auto" w:frame="1"/>
                <w:lang w:eastAsia="en-GB"/>
              </w:rPr>
              <w:t>Formule de calcul des droits B = base nette taxable</w:t>
            </w:r>
            <w:r w:rsidRPr="00F90ED5">
              <w:rPr>
                <w:rFonts w:ascii="Fira Sans" w:eastAsia="Times New Roman" w:hAnsi="Fira Sans" w:cs="Times New Roman"/>
                <w:color w:val="000000"/>
                <w:szCs w:val="32"/>
                <w:bdr w:val="none" w:sz="0" w:space="0" w:color="auto" w:frame="1"/>
                <w:lang w:eastAsia="en-GB"/>
              </w:rPr>
              <w:br/>
            </w:r>
          </w:p>
        </w:tc>
      </w:tr>
      <w:tr w:rsidR="001E4AAA" w:rsidRPr="00F90ED5" w14:paraId="63BCE4D5" w14:textId="77777777" w:rsidTr="001E4AAA">
        <w:trPr>
          <w:tblCellSpacing w:w="15" w:type="dxa"/>
        </w:trPr>
        <w:tc>
          <w:tcPr>
            <w:tcW w:w="0" w:type="auto"/>
            <w:tcBorders>
              <w:top w:val="nil"/>
              <w:left w:val="nil"/>
              <w:bottom w:val="single" w:sz="6" w:space="0" w:color="000000"/>
              <w:right w:val="nil"/>
            </w:tcBorders>
            <w:tcMar>
              <w:top w:w="75" w:type="dxa"/>
              <w:left w:w="75" w:type="dxa"/>
              <w:bottom w:w="75" w:type="dxa"/>
              <w:right w:w="75" w:type="dxa"/>
            </w:tcMar>
            <w:hideMark/>
          </w:tcPr>
          <w:p w14:paraId="6339A18C"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N'excédant pas</w:t>
            </w:r>
          </w:p>
        </w:tc>
        <w:tc>
          <w:tcPr>
            <w:tcW w:w="0" w:type="auto"/>
            <w:tcBorders>
              <w:top w:val="nil"/>
              <w:left w:val="nil"/>
              <w:bottom w:val="single" w:sz="6" w:space="0" w:color="000000"/>
              <w:right w:val="nil"/>
            </w:tcBorders>
            <w:tcMar>
              <w:top w:w="75" w:type="dxa"/>
              <w:left w:w="75" w:type="dxa"/>
              <w:bottom w:w="75" w:type="dxa"/>
              <w:right w:w="75" w:type="dxa"/>
            </w:tcMar>
            <w:hideMark/>
          </w:tcPr>
          <w:p w14:paraId="34F75AD7"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800 000 €</w:t>
            </w:r>
          </w:p>
        </w:tc>
        <w:tc>
          <w:tcPr>
            <w:tcW w:w="0" w:type="auto"/>
            <w:tcBorders>
              <w:top w:val="nil"/>
              <w:left w:val="nil"/>
              <w:bottom w:val="single" w:sz="6" w:space="0" w:color="000000"/>
              <w:right w:val="nil"/>
            </w:tcBorders>
            <w:tcMar>
              <w:top w:w="75" w:type="dxa"/>
              <w:left w:w="75" w:type="dxa"/>
              <w:bottom w:w="75" w:type="dxa"/>
              <w:right w:w="75" w:type="dxa"/>
            </w:tcMar>
            <w:hideMark/>
          </w:tcPr>
          <w:p w14:paraId="1064C1ED" w14:textId="30FBE4D2"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0</w:t>
            </w:r>
            <w:r w:rsidR="0022144B">
              <w:rPr>
                <w:rFonts w:ascii="Fira Sans" w:eastAsia="Times New Roman" w:hAnsi="Fira Sans" w:cs="Arial"/>
                <w:color w:val="000000"/>
                <w:szCs w:val="32"/>
                <w:bdr w:val="none" w:sz="0" w:space="0" w:color="auto" w:frame="1"/>
                <w:lang w:eastAsia="en-GB"/>
              </w:rPr>
              <w:t>%</w:t>
            </w:r>
          </w:p>
        </w:tc>
        <w:tc>
          <w:tcPr>
            <w:tcW w:w="0" w:type="auto"/>
            <w:tcBorders>
              <w:top w:val="nil"/>
              <w:left w:val="nil"/>
              <w:bottom w:val="single" w:sz="6" w:space="0" w:color="000000"/>
              <w:right w:val="nil"/>
            </w:tcBorders>
            <w:tcMar>
              <w:top w:w="75" w:type="dxa"/>
              <w:left w:w="75" w:type="dxa"/>
              <w:bottom w:w="75" w:type="dxa"/>
              <w:right w:w="75" w:type="dxa"/>
            </w:tcMar>
            <w:hideMark/>
          </w:tcPr>
          <w:p w14:paraId="04705015"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  </w:t>
            </w:r>
          </w:p>
        </w:tc>
      </w:tr>
      <w:tr w:rsidR="001E4AAA" w:rsidRPr="00F90ED5" w14:paraId="1B04C854" w14:textId="77777777" w:rsidTr="001E4AAA">
        <w:trPr>
          <w:tblCellSpacing w:w="15" w:type="dxa"/>
        </w:trPr>
        <w:tc>
          <w:tcPr>
            <w:tcW w:w="0" w:type="auto"/>
            <w:tcBorders>
              <w:top w:val="nil"/>
              <w:left w:val="nil"/>
              <w:bottom w:val="single" w:sz="6" w:space="0" w:color="000000"/>
              <w:right w:val="nil"/>
            </w:tcBorders>
            <w:tcMar>
              <w:top w:w="75" w:type="dxa"/>
              <w:left w:w="75" w:type="dxa"/>
              <w:bottom w:w="75" w:type="dxa"/>
              <w:right w:w="75" w:type="dxa"/>
            </w:tcMar>
            <w:hideMark/>
          </w:tcPr>
          <w:p w14:paraId="60A3A9DA"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De</w:t>
            </w:r>
          </w:p>
        </w:tc>
        <w:tc>
          <w:tcPr>
            <w:tcW w:w="0" w:type="auto"/>
            <w:tcBorders>
              <w:top w:val="nil"/>
              <w:left w:val="nil"/>
              <w:bottom w:val="single" w:sz="6" w:space="0" w:color="000000"/>
              <w:right w:val="nil"/>
            </w:tcBorders>
            <w:tcMar>
              <w:top w:w="75" w:type="dxa"/>
              <w:left w:w="75" w:type="dxa"/>
              <w:bottom w:w="75" w:type="dxa"/>
              <w:right w:w="75" w:type="dxa"/>
            </w:tcMar>
            <w:hideMark/>
          </w:tcPr>
          <w:p w14:paraId="01B7EE4F"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800 001 € à 1 300 000 €</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083E0593" w14:textId="4A862CCC"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0,50</w:t>
            </w:r>
            <w:r w:rsidR="0022144B">
              <w:rPr>
                <w:rFonts w:ascii="Fira Sans" w:eastAsia="Times New Roman" w:hAnsi="Fira Sans" w:cs="Arial"/>
                <w:color w:val="000000"/>
                <w:szCs w:val="32"/>
                <w:bdr w:val="none" w:sz="0" w:space="0" w:color="auto" w:frame="1"/>
                <w:lang w:eastAsia="en-GB"/>
              </w:rPr>
              <w:t>%</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4E6886B6"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B × 0,005</w:t>
            </w:r>
          </w:p>
        </w:tc>
      </w:tr>
      <w:tr w:rsidR="001E4AAA" w:rsidRPr="00F90ED5" w14:paraId="1815D9B7" w14:textId="77777777" w:rsidTr="001E4AAA">
        <w:trPr>
          <w:tblCellSpacing w:w="15" w:type="dxa"/>
        </w:trPr>
        <w:tc>
          <w:tcPr>
            <w:tcW w:w="0" w:type="auto"/>
            <w:tcBorders>
              <w:top w:val="nil"/>
              <w:left w:val="nil"/>
              <w:bottom w:val="single" w:sz="6" w:space="0" w:color="000000"/>
              <w:right w:val="nil"/>
            </w:tcBorders>
            <w:tcMar>
              <w:top w:w="75" w:type="dxa"/>
              <w:left w:w="75" w:type="dxa"/>
              <w:bottom w:w="75" w:type="dxa"/>
              <w:right w:w="75" w:type="dxa"/>
            </w:tcMar>
            <w:hideMark/>
          </w:tcPr>
          <w:p w14:paraId="21860F5E"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De</w:t>
            </w:r>
          </w:p>
        </w:tc>
        <w:tc>
          <w:tcPr>
            <w:tcW w:w="0" w:type="auto"/>
            <w:tcBorders>
              <w:top w:val="nil"/>
              <w:left w:val="nil"/>
              <w:bottom w:val="single" w:sz="6" w:space="0" w:color="000000"/>
              <w:right w:val="nil"/>
            </w:tcBorders>
            <w:tcMar>
              <w:top w:w="75" w:type="dxa"/>
              <w:left w:w="75" w:type="dxa"/>
              <w:bottom w:w="75" w:type="dxa"/>
              <w:right w:w="75" w:type="dxa"/>
            </w:tcMar>
            <w:hideMark/>
          </w:tcPr>
          <w:p w14:paraId="2F083C40"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1 300 001 € à 2 570 000 €</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69FC3871" w14:textId="0EE42D07"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0,70</w:t>
            </w:r>
            <w:r w:rsidR="00431634">
              <w:rPr>
                <w:rFonts w:ascii="Fira Sans" w:eastAsia="Times New Roman" w:hAnsi="Fira Sans" w:cs="Arial"/>
                <w:color w:val="000000"/>
                <w:szCs w:val="32"/>
                <w:bdr w:val="none" w:sz="0" w:space="0" w:color="auto" w:frame="1"/>
                <w:lang w:eastAsia="en-GB"/>
              </w:rPr>
              <w:t>%</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0C0E350D"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(B × 0,007) − 6 600 €</w:t>
            </w:r>
          </w:p>
        </w:tc>
      </w:tr>
      <w:tr w:rsidR="001E4AAA" w:rsidRPr="00F90ED5" w14:paraId="6F2F680F" w14:textId="77777777" w:rsidTr="001E4AAA">
        <w:trPr>
          <w:tblCellSpacing w:w="15" w:type="dxa"/>
        </w:trPr>
        <w:tc>
          <w:tcPr>
            <w:tcW w:w="0" w:type="auto"/>
            <w:tcBorders>
              <w:top w:val="nil"/>
              <w:left w:val="nil"/>
              <w:bottom w:val="single" w:sz="6" w:space="0" w:color="000000"/>
              <w:right w:val="nil"/>
            </w:tcBorders>
            <w:tcMar>
              <w:top w:w="75" w:type="dxa"/>
              <w:left w:w="75" w:type="dxa"/>
              <w:bottom w:w="75" w:type="dxa"/>
              <w:right w:w="75" w:type="dxa"/>
            </w:tcMar>
            <w:hideMark/>
          </w:tcPr>
          <w:p w14:paraId="194DF87B"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De</w:t>
            </w:r>
          </w:p>
        </w:tc>
        <w:tc>
          <w:tcPr>
            <w:tcW w:w="0" w:type="auto"/>
            <w:tcBorders>
              <w:top w:val="nil"/>
              <w:left w:val="nil"/>
              <w:bottom w:val="single" w:sz="6" w:space="0" w:color="000000"/>
              <w:right w:val="nil"/>
            </w:tcBorders>
            <w:tcMar>
              <w:top w:w="75" w:type="dxa"/>
              <w:left w:w="75" w:type="dxa"/>
              <w:bottom w:w="75" w:type="dxa"/>
              <w:right w:w="75" w:type="dxa"/>
            </w:tcMar>
            <w:hideMark/>
          </w:tcPr>
          <w:p w14:paraId="5F424699"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2 570 001 € à 5 000 000 €</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0C9B331A" w14:textId="62A01DAA"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1</w:t>
            </w:r>
            <w:r w:rsidR="00431634">
              <w:rPr>
                <w:rFonts w:ascii="Fira Sans" w:eastAsia="Times New Roman" w:hAnsi="Fira Sans" w:cs="Arial"/>
                <w:color w:val="000000"/>
                <w:szCs w:val="32"/>
                <w:bdr w:val="none" w:sz="0" w:space="0" w:color="auto" w:frame="1"/>
                <w:lang w:eastAsia="en-GB"/>
              </w:rPr>
              <w:t>%</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390425EB"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(B × 0,01) − 14 310 €</w:t>
            </w:r>
          </w:p>
        </w:tc>
      </w:tr>
      <w:tr w:rsidR="001E4AAA" w:rsidRPr="00F90ED5" w14:paraId="368E42ED" w14:textId="77777777" w:rsidTr="001E4AAA">
        <w:trPr>
          <w:tblCellSpacing w:w="15" w:type="dxa"/>
        </w:trPr>
        <w:tc>
          <w:tcPr>
            <w:tcW w:w="0" w:type="auto"/>
            <w:tcBorders>
              <w:top w:val="nil"/>
              <w:left w:val="nil"/>
              <w:bottom w:val="single" w:sz="6" w:space="0" w:color="000000"/>
              <w:right w:val="nil"/>
            </w:tcBorders>
            <w:tcMar>
              <w:top w:w="75" w:type="dxa"/>
              <w:left w:w="75" w:type="dxa"/>
              <w:bottom w:w="75" w:type="dxa"/>
              <w:right w:w="75" w:type="dxa"/>
            </w:tcMar>
            <w:hideMark/>
          </w:tcPr>
          <w:p w14:paraId="08B7F06D"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De</w:t>
            </w:r>
          </w:p>
        </w:tc>
        <w:tc>
          <w:tcPr>
            <w:tcW w:w="0" w:type="auto"/>
            <w:tcBorders>
              <w:top w:val="nil"/>
              <w:left w:val="nil"/>
              <w:bottom w:val="single" w:sz="6" w:space="0" w:color="000000"/>
              <w:right w:val="nil"/>
            </w:tcBorders>
            <w:tcMar>
              <w:top w:w="75" w:type="dxa"/>
              <w:left w:w="75" w:type="dxa"/>
              <w:bottom w:w="75" w:type="dxa"/>
              <w:right w:w="75" w:type="dxa"/>
            </w:tcMar>
            <w:hideMark/>
          </w:tcPr>
          <w:p w14:paraId="138F4B82"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5 000 001 € à 10 000 000 €</w:t>
            </w:r>
          </w:p>
        </w:tc>
        <w:tc>
          <w:tcPr>
            <w:tcW w:w="0" w:type="auto"/>
            <w:tcBorders>
              <w:top w:val="nil"/>
              <w:left w:val="nil"/>
              <w:bottom w:val="single" w:sz="6" w:space="0" w:color="000000"/>
              <w:right w:val="nil"/>
            </w:tcBorders>
            <w:tcMar>
              <w:top w:w="75" w:type="dxa"/>
              <w:left w:w="75" w:type="dxa"/>
              <w:bottom w:w="75" w:type="dxa"/>
              <w:right w:w="75" w:type="dxa"/>
            </w:tcMar>
            <w:hideMark/>
          </w:tcPr>
          <w:p w14:paraId="7B507FC2" w14:textId="339EDE79"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1,25</w:t>
            </w:r>
            <w:r w:rsidR="00431634">
              <w:rPr>
                <w:rFonts w:ascii="Fira Sans" w:eastAsia="Times New Roman" w:hAnsi="Fira Sans" w:cs="Arial"/>
                <w:color w:val="000000"/>
                <w:szCs w:val="32"/>
                <w:bdr w:val="none" w:sz="0" w:space="0" w:color="auto" w:frame="1"/>
                <w:lang w:eastAsia="en-GB"/>
              </w:rPr>
              <w:t>%</w:t>
            </w:r>
          </w:p>
        </w:tc>
        <w:tc>
          <w:tcPr>
            <w:tcW w:w="0" w:type="auto"/>
            <w:tcBorders>
              <w:top w:val="nil"/>
              <w:left w:val="nil"/>
              <w:bottom w:val="single" w:sz="6" w:space="0" w:color="000000"/>
              <w:right w:val="nil"/>
            </w:tcBorders>
            <w:tcMar>
              <w:top w:w="75" w:type="dxa"/>
              <w:left w:w="75" w:type="dxa"/>
              <w:bottom w:w="75" w:type="dxa"/>
              <w:right w:w="75" w:type="dxa"/>
            </w:tcMar>
            <w:vAlign w:val="bottom"/>
            <w:hideMark/>
          </w:tcPr>
          <w:p w14:paraId="5A4224E5"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(B × 0,0125) − 26 810 €</w:t>
            </w:r>
          </w:p>
        </w:tc>
      </w:tr>
      <w:tr w:rsidR="001E4AAA" w:rsidRPr="00F90ED5" w14:paraId="698BC68B" w14:textId="77777777" w:rsidTr="001E4AAA">
        <w:trPr>
          <w:tblCellSpacing w:w="15" w:type="dxa"/>
        </w:trPr>
        <w:tc>
          <w:tcPr>
            <w:tcW w:w="0" w:type="auto"/>
            <w:tcBorders>
              <w:top w:val="nil"/>
              <w:left w:val="nil"/>
              <w:bottom w:val="nil"/>
              <w:right w:val="nil"/>
            </w:tcBorders>
            <w:tcMar>
              <w:top w:w="75" w:type="dxa"/>
              <w:left w:w="75" w:type="dxa"/>
              <w:bottom w:w="75" w:type="dxa"/>
              <w:right w:w="75" w:type="dxa"/>
            </w:tcMar>
            <w:hideMark/>
          </w:tcPr>
          <w:p w14:paraId="0AAA60DB"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Supérieure à</w:t>
            </w:r>
          </w:p>
        </w:tc>
        <w:tc>
          <w:tcPr>
            <w:tcW w:w="0" w:type="auto"/>
            <w:tcBorders>
              <w:top w:val="nil"/>
              <w:left w:val="nil"/>
              <w:bottom w:val="nil"/>
              <w:right w:val="nil"/>
            </w:tcBorders>
            <w:tcMar>
              <w:top w:w="75" w:type="dxa"/>
              <w:left w:w="75" w:type="dxa"/>
              <w:bottom w:w="75" w:type="dxa"/>
              <w:right w:w="75" w:type="dxa"/>
            </w:tcMar>
            <w:hideMark/>
          </w:tcPr>
          <w:p w14:paraId="45527478"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10 000 000 €</w:t>
            </w:r>
          </w:p>
        </w:tc>
        <w:tc>
          <w:tcPr>
            <w:tcW w:w="0" w:type="auto"/>
            <w:tcBorders>
              <w:top w:val="nil"/>
              <w:left w:val="nil"/>
              <w:bottom w:val="nil"/>
              <w:right w:val="nil"/>
            </w:tcBorders>
            <w:tcMar>
              <w:top w:w="75" w:type="dxa"/>
              <w:left w:w="75" w:type="dxa"/>
              <w:bottom w:w="75" w:type="dxa"/>
              <w:right w:w="75" w:type="dxa"/>
            </w:tcMar>
            <w:vAlign w:val="bottom"/>
            <w:hideMark/>
          </w:tcPr>
          <w:p w14:paraId="074B014E" w14:textId="70C98805" w:rsidR="001E4AAA" w:rsidRPr="00F90ED5" w:rsidRDefault="001E4AAA" w:rsidP="00431634">
            <w:pPr>
              <w:spacing w:after="0" w:line="240" w:lineRule="auto"/>
              <w:jc w:val="center"/>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1,50</w:t>
            </w:r>
            <w:r w:rsidR="00431634">
              <w:rPr>
                <w:rFonts w:ascii="Fira Sans" w:eastAsia="Times New Roman" w:hAnsi="Fira Sans" w:cs="Arial"/>
                <w:color w:val="000000"/>
                <w:szCs w:val="32"/>
                <w:bdr w:val="none" w:sz="0" w:space="0" w:color="auto" w:frame="1"/>
                <w:lang w:eastAsia="en-GB"/>
              </w:rPr>
              <w:t>%</w:t>
            </w:r>
          </w:p>
        </w:tc>
        <w:tc>
          <w:tcPr>
            <w:tcW w:w="0" w:type="auto"/>
            <w:tcBorders>
              <w:top w:val="nil"/>
              <w:left w:val="nil"/>
              <w:bottom w:val="nil"/>
              <w:right w:val="nil"/>
            </w:tcBorders>
            <w:tcMar>
              <w:top w:w="75" w:type="dxa"/>
              <w:left w:w="75" w:type="dxa"/>
              <w:bottom w:w="75" w:type="dxa"/>
              <w:right w:w="75" w:type="dxa"/>
            </w:tcMar>
            <w:vAlign w:val="bottom"/>
            <w:hideMark/>
          </w:tcPr>
          <w:p w14:paraId="637DBB6A" w14:textId="77777777" w:rsidR="001E4AAA" w:rsidRPr="00F90ED5" w:rsidRDefault="001E4AAA" w:rsidP="001E4AAA">
            <w:pPr>
              <w:spacing w:after="0" w:line="240" w:lineRule="auto"/>
              <w:rPr>
                <w:rFonts w:ascii="Arial" w:eastAsia="Times New Roman" w:hAnsi="Arial" w:cs="Arial"/>
                <w:szCs w:val="32"/>
                <w:lang w:eastAsia="en-GB"/>
              </w:rPr>
            </w:pPr>
            <w:r w:rsidRPr="00F90ED5">
              <w:rPr>
                <w:rFonts w:ascii="Fira Sans" w:eastAsia="Times New Roman" w:hAnsi="Fira Sans" w:cs="Arial"/>
                <w:color w:val="000000"/>
                <w:szCs w:val="32"/>
                <w:bdr w:val="none" w:sz="0" w:space="0" w:color="auto" w:frame="1"/>
                <w:lang w:eastAsia="en-GB"/>
              </w:rPr>
              <w:t>(B × 0,015) − 51 810 €</w:t>
            </w:r>
          </w:p>
        </w:tc>
      </w:tr>
    </w:tbl>
    <w:p w14:paraId="3E8BCB75" w14:textId="2B046494" w:rsidR="003C1F8F" w:rsidRPr="00F90ED5" w:rsidRDefault="003C1F8F" w:rsidP="0065092D"/>
    <w:p w14:paraId="62933E02" w14:textId="77777777" w:rsidR="003C1F8F" w:rsidRPr="00F90ED5" w:rsidRDefault="003C1F8F" w:rsidP="0047315F">
      <w:pPr>
        <w:pStyle w:val="CGPC-elearning"/>
      </w:pPr>
      <w:r w:rsidRPr="00F90ED5">
        <w:br w:type="page"/>
      </w:r>
    </w:p>
    <w:p w14:paraId="79295677" w14:textId="4D9DECA1" w:rsidR="00E642F7" w:rsidRPr="00F90ED5" w:rsidRDefault="00E642F7" w:rsidP="00583473">
      <w:pPr>
        <w:pStyle w:val="Titre4"/>
        <w:numPr>
          <w:ilvl w:val="0"/>
          <w:numId w:val="9"/>
        </w:numPr>
      </w:pPr>
      <w:bookmarkStart w:id="27" w:name="_Toc172550927"/>
      <w:r w:rsidRPr="00F90ED5">
        <w:lastRenderedPageBreak/>
        <w:t>Application d’une décote</w:t>
      </w:r>
      <w:bookmarkEnd w:id="27"/>
    </w:p>
    <w:p w14:paraId="41E713BC" w14:textId="77777777" w:rsidR="00E642F7" w:rsidRPr="00F90ED5" w:rsidRDefault="00E642F7" w:rsidP="00E642F7">
      <w:pPr>
        <w:spacing w:after="0" w:line="240" w:lineRule="auto"/>
        <w:textAlignment w:val="baseline"/>
        <w:rPr>
          <w:rFonts w:eastAsia="Times New Roman" w:cs="Open Sans"/>
          <w:color w:val="666666"/>
          <w:szCs w:val="32"/>
          <w:lang w:eastAsia="fr-FR"/>
        </w:rPr>
      </w:pPr>
      <w:r w:rsidRPr="00F90ED5">
        <w:rPr>
          <w:rFonts w:eastAsia="Times New Roman" w:cs="Open Sans"/>
          <w:color w:val="666666"/>
          <w:szCs w:val="32"/>
          <w:lang w:eastAsia="fr-FR"/>
        </w:rPr>
        <w:t>Pour éviter les effets de seuil, un allègement de l’impôt est prévu pour les contribuables dont le patrimoine taxable est compris entre 1 300 000 € et 1 400 000 €.</w:t>
      </w:r>
    </w:p>
    <w:p w14:paraId="1798A122" w14:textId="77777777" w:rsidR="003C1F8F" w:rsidRPr="00F90ED5" w:rsidRDefault="003C1F8F" w:rsidP="0047315F">
      <w:pPr>
        <w:pStyle w:val="CGPC-elearning"/>
      </w:pPr>
    </w:p>
    <w:p w14:paraId="58ECDA8D" w14:textId="77777777" w:rsidR="00E642F7" w:rsidRPr="00F90ED5" w:rsidRDefault="00E642F7" w:rsidP="00A535E4">
      <w:pPr>
        <w:rPr>
          <w:szCs w:val="32"/>
        </w:rPr>
      </w:pPr>
      <w:r w:rsidRPr="00F90ED5">
        <w:rPr>
          <w:szCs w:val="32"/>
        </w:rPr>
        <w:t>Ce mécanisme est le suivant :</w:t>
      </w:r>
    </w:p>
    <w:tbl>
      <w:tblPr>
        <w:tblW w:w="21600" w:type="dxa"/>
        <w:tblBorders>
          <w:top w:val="single" w:sz="6" w:space="0" w:color="EEEEEE"/>
          <w:left w:val="single" w:sz="6" w:space="0" w:color="EEEEEE"/>
          <w:bottom w:val="single" w:sz="6" w:space="0" w:color="EEEEEE"/>
          <w:right w:val="single" w:sz="6" w:space="0" w:color="EEEEEE"/>
        </w:tblBorders>
        <w:tblCellMar>
          <w:top w:w="15" w:type="dxa"/>
          <w:left w:w="15" w:type="dxa"/>
          <w:bottom w:w="15" w:type="dxa"/>
          <w:right w:w="15" w:type="dxa"/>
        </w:tblCellMar>
        <w:tblLook w:val="04A0" w:firstRow="1" w:lastRow="0" w:firstColumn="1" w:lastColumn="0" w:noHBand="0" w:noVBand="1"/>
      </w:tblPr>
      <w:tblGrid>
        <w:gridCol w:w="12834"/>
        <w:gridCol w:w="8766"/>
      </w:tblGrid>
      <w:tr w:rsidR="00E642F7" w:rsidRPr="00F90ED5" w14:paraId="11FC8300" w14:textId="77777777" w:rsidTr="00895C9D">
        <w:tc>
          <w:tcPr>
            <w:tcW w:w="0" w:type="auto"/>
            <w:tcBorders>
              <w:top w:val="single" w:sz="6" w:space="0" w:color="EEEEEE"/>
            </w:tcBorders>
            <w:tcMar>
              <w:top w:w="206" w:type="dxa"/>
              <w:left w:w="141" w:type="dxa"/>
              <w:bottom w:w="206" w:type="dxa"/>
              <w:right w:w="141" w:type="dxa"/>
            </w:tcMar>
            <w:vAlign w:val="center"/>
            <w:hideMark/>
          </w:tcPr>
          <w:p w14:paraId="11894976" w14:textId="77777777" w:rsidR="00E642F7" w:rsidRPr="00F90ED5" w:rsidRDefault="00E642F7" w:rsidP="00A535E4">
            <w:pPr>
              <w:rPr>
                <w:szCs w:val="32"/>
              </w:rPr>
            </w:pPr>
            <w:r w:rsidRPr="00F90ED5">
              <w:rPr>
                <w:szCs w:val="32"/>
              </w:rPr>
              <w:t>Valeur nette taxable du patrimoine</w:t>
            </w:r>
          </w:p>
        </w:tc>
        <w:tc>
          <w:tcPr>
            <w:tcW w:w="0" w:type="auto"/>
            <w:tcBorders>
              <w:top w:val="single" w:sz="6" w:space="0" w:color="EEEEEE"/>
            </w:tcBorders>
            <w:tcMar>
              <w:top w:w="206" w:type="dxa"/>
              <w:left w:w="141" w:type="dxa"/>
              <w:bottom w:w="206" w:type="dxa"/>
              <w:right w:w="141" w:type="dxa"/>
            </w:tcMar>
            <w:vAlign w:val="center"/>
            <w:hideMark/>
          </w:tcPr>
          <w:p w14:paraId="5AD3FF78" w14:textId="77777777" w:rsidR="00E642F7" w:rsidRPr="00F90ED5" w:rsidRDefault="00E642F7" w:rsidP="00A535E4">
            <w:pPr>
              <w:rPr>
                <w:szCs w:val="32"/>
              </w:rPr>
            </w:pPr>
            <w:r w:rsidRPr="00F90ED5">
              <w:rPr>
                <w:szCs w:val="32"/>
              </w:rPr>
              <w:t>Réduction du montant de l’imposition (1)</w:t>
            </w:r>
          </w:p>
        </w:tc>
      </w:tr>
      <w:tr w:rsidR="00E642F7" w:rsidRPr="00F90ED5" w14:paraId="36B77A5C" w14:textId="77777777" w:rsidTr="00895C9D">
        <w:tc>
          <w:tcPr>
            <w:tcW w:w="0" w:type="auto"/>
            <w:tcBorders>
              <w:top w:val="single" w:sz="6" w:space="0" w:color="EEEEEE"/>
            </w:tcBorders>
            <w:tcMar>
              <w:top w:w="206" w:type="dxa"/>
              <w:left w:w="141" w:type="dxa"/>
              <w:bottom w:w="206" w:type="dxa"/>
              <w:right w:w="141" w:type="dxa"/>
            </w:tcMar>
            <w:vAlign w:val="center"/>
            <w:hideMark/>
          </w:tcPr>
          <w:p w14:paraId="1F3A59C3" w14:textId="77777777" w:rsidR="00E642F7" w:rsidRPr="00F90ED5" w:rsidRDefault="00E642F7" w:rsidP="00A535E4">
            <w:pPr>
              <w:rPr>
                <w:szCs w:val="32"/>
              </w:rPr>
            </w:pPr>
            <w:r w:rsidRPr="00F90ED5">
              <w:rPr>
                <w:szCs w:val="32"/>
              </w:rPr>
              <w:t>Égale ou supérieure à 1 300 000 € et inférieure à 1 400 000 €</w:t>
            </w:r>
          </w:p>
        </w:tc>
        <w:tc>
          <w:tcPr>
            <w:tcW w:w="0" w:type="auto"/>
            <w:tcBorders>
              <w:top w:val="single" w:sz="6" w:space="0" w:color="EEEEEE"/>
            </w:tcBorders>
            <w:tcMar>
              <w:top w:w="206" w:type="dxa"/>
              <w:left w:w="141" w:type="dxa"/>
              <w:bottom w:w="206" w:type="dxa"/>
              <w:right w:w="141" w:type="dxa"/>
            </w:tcMar>
            <w:vAlign w:val="center"/>
            <w:hideMark/>
          </w:tcPr>
          <w:p w14:paraId="1C92619D" w14:textId="77777777" w:rsidR="00E642F7" w:rsidRPr="00F90ED5" w:rsidRDefault="00E642F7" w:rsidP="00A535E4">
            <w:pPr>
              <w:rPr>
                <w:szCs w:val="32"/>
              </w:rPr>
            </w:pPr>
            <w:r w:rsidRPr="00F90ED5">
              <w:rPr>
                <w:szCs w:val="32"/>
              </w:rPr>
              <w:t>17 500 – (P x 1,25 %)</w:t>
            </w:r>
          </w:p>
        </w:tc>
      </w:tr>
    </w:tbl>
    <w:p w14:paraId="37DDE959" w14:textId="5E905ECD" w:rsidR="00E642F7" w:rsidRPr="00F90ED5" w:rsidRDefault="00E642F7" w:rsidP="00A535E4">
      <w:pPr>
        <w:rPr>
          <w:szCs w:val="32"/>
        </w:rPr>
      </w:pPr>
    </w:p>
    <w:p w14:paraId="574DD193" w14:textId="77777777" w:rsidR="00E642F7" w:rsidRPr="00F90ED5" w:rsidRDefault="00E642F7" w:rsidP="00A535E4">
      <w:pPr>
        <w:rPr>
          <w:szCs w:val="32"/>
        </w:rPr>
      </w:pPr>
      <w:r w:rsidRPr="00F90ED5">
        <w:rPr>
          <w:szCs w:val="32"/>
        </w:rPr>
        <w:t>Exemple de calcul :</w:t>
      </w:r>
    </w:p>
    <w:p w14:paraId="5F6DD0DD" w14:textId="275BA922" w:rsidR="00E642F7" w:rsidRPr="00F90ED5" w:rsidRDefault="00E642F7" w:rsidP="00A535E4">
      <w:pPr>
        <w:rPr>
          <w:szCs w:val="32"/>
        </w:rPr>
      </w:pPr>
      <w:r w:rsidRPr="00F90ED5">
        <w:rPr>
          <w:szCs w:val="32"/>
        </w:rPr>
        <w:t>Patrimoine net taxable au 1er janvier 202</w:t>
      </w:r>
      <w:r w:rsidR="0065092D" w:rsidRPr="00F90ED5">
        <w:rPr>
          <w:szCs w:val="32"/>
        </w:rPr>
        <w:t>5</w:t>
      </w:r>
      <w:r w:rsidRPr="00F90ED5">
        <w:rPr>
          <w:szCs w:val="32"/>
        </w:rPr>
        <w:t>: 1,35 million €</w:t>
      </w:r>
    </w:p>
    <w:p w14:paraId="12F28DAC" w14:textId="77777777" w:rsidR="00E642F7" w:rsidRPr="00F90ED5" w:rsidRDefault="00E642F7" w:rsidP="00A535E4">
      <w:pPr>
        <w:rPr>
          <w:szCs w:val="32"/>
        </w:rPr>
      </w:pPr>
      <w:r w:rsidRPr="00F90ED5">
        <w:rPr>
          <w:szCs w:val="32"/>
        </w:rPr>
        <w:t>IFI brut = (500 000 € x 0,5 %) + (50 000 € x 0,7 %) = 2 500 € + 350 € = 2 850 €</w:t>
      </w:r>
    </w:p>
    <w:p w14:paraId="7E31BBB9" w14:textId="77777777" w:rsidR="00E642F7" w:rsidRPr="00F90ED5" w:rsidRDefault="00E642F7" w:rsidP="00A535E4">
      <w:pPr>
        <w:rPr>
          <w:szCs w:val="32"/>
        </w:rPr>
      </w:pPr>
      <w:r w:rsidRPr="00F90ED5">
        <w:rPr>
          <w:szCs w:val="32"/>
        </w:rPr>
        <w:t>Décote applicable = 17 500 € – (1,35 million € x 1,25 %) = 625 €</w:t>
      </w:r>
    </w:p>
    <w:p w14:paraId="54FBA9E8" w14:textId="77777777" w:rsidR="00E642F7" w:rsidRPr="00F90ED5" w:rsidRDefault="00E642F7" w:rsidP="00A535E4">
      <w:pPr>
        <w:rPr>
          <w:szCs w:val="32"/>
        </w:rPr>
      </w:pPr>
      <w:r w:rsidRPr="00F90ED5">
        <w:rPr>
          <w:szCs w:val="32"/>
        </w:rPr>
        <w:t>Montant IFI = 2850 € – 625 € = 2 225 €</w:t>
      </w:r>
    </w:p>
    <w:p w14:paraId="2B9B7200" w14:textId="7450E5E4"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color w:val="666666"/>
          <w:sz w:val="21"/>
          <w:szCs w:val="21"/>
          <w:lang w:eastAsia="fr-FR"/>
        </w:rPr>
        <w:t> </w:t>
      </w:r>
    </w:p>
    <w:p w14:paraId="05713B9A" w14:textId="77777777" w:rsidR="00E642F7" w:rsidRPr="00F90ED5" w:rsidRDefault="00E642F7" w:rsidP="00583473">
      <w:pPr>
        <w:pStyle w:val="Titre4"/>
      </w:pPr>
      <w:bookmarkStart w:id="28" w:name="_Toc172550928"/>
      <w:r w:rsidRPr="00F90ED5">
        <w:t>Obligations déclaratives</w:t>
      </w:r>
      <w:bookmarkEnd w:id="28"/>
    </w:p>
    <w:p w14:paraId="64082F00" w14:textId="77777777" w:rsidR="00E642F7" w:rsidRPr="00F90ED5" w:rsidRDefault="00E642F7" w:rsidP="00A535E4">
      <w:r w:rsidRPr="00F90ED5">
        <w:t>Quel que soit le montant de leur patrimoine immobilier imposable, les redevables de l’IFI déclarent la valeur brute et la valeur nette taxable de leurs actifs sur leur déclaration de revenus (n°2042), accompagnée des annexes mentionnant et évaluant ces actifs (au risque d’une taxation d’office).</w:t>
      </w:r>
    </w:p>
    <w:p w14:paraId="29000BB6" w14:textId="77777777" w:rsidR="00E642F7" w:rsidRPr="00F90ED5" w:rsidRDefault="00E642F7" w:rsidP="00A535E4">
      <w:r w:rsidRPr="00F90ED5">
        <w:t>L’impôt est recouvré par voie de rôle selon les mêmes sûretés, privilèges, garanties, et sanctions que l’impôt sur le revenu mais est contrôlé comme en matière de droits d’enregistrement. Calculée annuellement par le contribuable selon le montant de son patrimoine imposable, la somme résultant du barème est soumise ensuite à éventuelle réduction.</w:t>
      </w:r>
    </w:p>
    <w:p w14:paraId="01CE1080" w14:textId="77777777" w:rsidR="00E642F7" w:rsidRPr="00F90ED5" w:rsidRDefault="00E642F7" w:rsidP="00A535E4">
      <w:r w:rsidRPr="00F90ED5">
        <w:lastRenderedPageBreak/>
        <w:t> </w:t>
      </w:r>
    </w:p>
    <w:p w14:paraId="71CF9DBF" w14:textId="55193210" w:rsidR="00E642F7" w:rsidRPr="00F90ED5" w:rsidRDefault="001F256B" w:rsidP="00583473">
      <w:pPr>
        <w:pStyle w:val="Titre4"/>
      </w:pPr>
      <w:r w:rsidRPr="00F90ED5">
        <w:t> </w:t>
      </w:r>
      <w:bookmarkStart w:id="29" w:name="_Toc172550931"/>
      <w:r w:rsidRPr="00F90ED5">
        <w:t>La réduction d’</w:t>
      </w:r>
      <w:proofErr w:type="spellStart"/>
      <w:r w:rsidRPr="00F90ED5">
        <w:t>ifi</w:t>
      </w:r>
      <w:proofErr w:type="spellEnd"/>
      <w:r w:rsidRPr="00F90ED5">
        <w:t xml:space="preserve"> pour dons au profit d’organismes d’intérêt général</w:t>
      </w:r>
      <w:bookmarkEnd w:id="29"/>
    </w:p>
    <w:p w14:paraId="44E392AC" w14:textId="77777777" w:rsidR="00E642F7" w:rsidRPr="00F90ED5" w:rsidRDefault="00E642F7" w:rsidP="003F0E49">
      <w:r w:rsidRPr="00F90ED5">
        <w:t>Il existe une réduction d’IFI pour dons au profit d’organismes d’intérêt général. Le taux de cette réduction est égal à 75 % du montant des dons réalisés, dans la limite de 50 000 € par an (soit un don maximum de 66.666 euros).</w:t>
      </w:r>
    </w:p>
    <w:p w14:paraId="697EB077" w14:textId="77777777" w:rsidR="00E642F7" w:rsidRPr="00F90ED5" w:rsidRDefault="00E642F7" w:rsidP="003F0E49">
      <w:r w:rsidRPr="00F90ED5">
        <w:t>Les organismes bénéficiaires peuvent notamment être des établissements de recherche ou d’enseignement supérieur ou artistique à but non lucratif, des fondations reconnues d’utilité publique, des entreprises favorisant l’insertion des personnes en difficulté, l’Agence nationale de la recherche, des fondations universitaires et partenariales, des associations reconnues d’utilité publique de financement et d’accompagnement de la création et de la reprise d’entreprises dont la liste est fixée par arrêté conjoint des ministres chargés de l’économie et du budget.</w:t>
      </w:r>
    </w:p>
    <w:p w14:paraId="3C44B938" w14:textId="77777777" w:rsidR="00E642F7" w:rsidRPr="00F90ED5" w:rsidRDefault="00E642F7" w:rsidP="003F0E49">
      <w:r w:rsidRPr="00F90ED5">
        <w:t>Les dons peuvent être effectués soit en numéraire, soit par remise de titres de sociétés cotées sur un marché réglementé français ou étranger en pleine propriété.</w:t>
      </w:r>
    </w:p>
    <w:p w14:paraId="33827A14" w14:textId="77777777" w:rsidR="00E642F7" w:rsidRPr="00F90ED5" w:rsidRDefault="00E642F7" w:rsidP="003F0E49">
      <w:r w:rsidRPr="00F90ED5">
        <w:t>Cette réduction s’applique aux dons réalisés entre la date limite de dépôt de la déclaration de l’année précédant celle de l’imposition (15 juin année N-1) et la date limite de dépôt de la déclaration de l’année d’imposition (15 juin année N).</w:t>
      </w:r>
    </w:p>
    <w:p w14:paraId="2F9217D9" w14:textId="77777777" w:rsidR="00E642F7" w:rsidRPr="00F90ED5" w:rsidRDefault="00E642F7" w:rsidP="003F0E49">
      <w:r w:rsidRPr="00F90ED5">
        <w:t>Les redevables doivent pouvoir, à la demande de l’administration fiscale, fournir les pièces justificatives attestant du total du montant, de la date des versements et de l’identité des bénéficiaires.</w:t>
      </w:r>
    </w:p>
    <w:p w14:paraId="12A9BDB8" w14:textId="77777777" w:rsidR="00E642F7" w:rsidRPr="00F90ED5" w:rsidRDefault="00E642F7" w:rsidP="003F0E49">
      <w:r w:rsidRPr="00F90ED5">
        <w:t> </w:t>
      </w:r>
    </w:p>
    <w:p w14:paraId="14E0062D" w14:textId="4C5DA9FA" w:rsidR="00E642F7" w:rsidRPr="00F90ED5" w:rsidRDefault="001F256B" w:rsidP="00583473">
      <w:pPr>
        <w:pStyle w:val="Titre4"/>
      </w:pPr>
      <w:bookmarkStart w:id="30" w:name="_Toc172550932"/>
      <w:r w:rsidRPr="00F90ED5">
        <w:t>Plafonnement de l’</w:t>
      </w:r>
      <w:proofErr w:type="spellStart"/>
      <w:r w:rsidRPr="00F90ED5">
        <w:t>ifi</w:t>
      </w:r>
      <w:bookmarkEnd w:id="30"/>
      <w:proofErr w:type="spellEnd"/>
    </w:p>
    <w:p w14:paraId="7159A704" w14:textId="77777777" w:rsidR="00E642F7" w:rsidRPr="00F90ED5" w:rsidRDefault="00E642F7" w:rsidP="003F0E49">
      <w:r w:rsidRPr="00F90ED5">
        <w:t>Le système de plafonnement permet aux redevables de l’IFI de ne pas consacrer plus de 75% de Leurs revenus au paiement de leurs impôts.</w:t>
      </w:r>
    </w:p>
    <w:p w14:paraId="38068632" w14:textId="7330F9F8" w:rsidR="00E642F7" w:rsidRPr="00F90ED5" w:rsidRDefault="00E642F7" w:rsidP="003F0E49">
      <w:r w:rsidRPr="00F90ED5">
        <w:t>&gt;Seuls les redevables de l’IFI qui ont leur domicile fiscal en France peuvent bénéficier du plafonnement.</w:t>
      </w:r>
    </w:p>
    <w:p w14:paraId="6D5705ED" w14:textId="77777777" w:rsidR="00E642F7" w:rsidRPr="00F90ED5" w:rsidRDefault="00E642F7" w:rsidP="003F0E49">
      <w:r w:rsidRPr="00F90ED5">
        <w:t>Ainsi l’IFI du redevable est réduit de la différence entre d’une part :</w:t>
      </w:r>
    </w:p>
    <w:p w14:paraId="3E8B462A" w14:textId="77777777" w:rsidR="00E642F7" w:rsidRPr="00F90ED5" w:rsidRDefault="00E642F7" w:rsidP="003F0E49">
      <w:r w:rsidRPr="00F90ED5">
        <w:t>le total de l’IFI de l’année d’imposition ;</w:t>
      </w:r>
    </w:p>
    <w:p w14:paraId="000F96D9" w14:textId="77777777" w:rsidR="00E642F7" w:rsidRPr="00F90ED5" w:rsidRDefault="00E642F7" w:rsidP="001F256B">
      <w:r w:rsidRPr="00F90ED5">
        <w:lastRenderedPageBreak/>
        <w:t>le total des impôts dus en France et à l’étranger au titre des revenus et produits de l’année n-1.</w:t>
      </w:r>
      <w:r w:rsidRPr="00F90ED5">
        <w:br/>
        <w:t>Et d’autre part :</w:t>
      </w:r>
    </w:p>
    <w:p w14:paraId="711AB149" w14:textId="77777777" w:rsidR="00E642F7" w:rsidRPr="00F90ED5" w:rsidRDefault="00E642F7" w:rsidP="003F0E49">
      <w:r w:rsidRPr="00F90ED5">
        <w:t>75 % du total des revenus mondiaux nets de frais professionnels de l’année n-1 déduction des seuls déficits catégoriels qui peuvent être imputés sur le revenu global, ainsi que des revenus exonérés d’IR et des produits soumis à un prélèvement libératoire réalisé au cours de la même année.</w:t>
      </w:r>
    </w:p>
    <w:p w14:paraId="28102F0A" w14:textId="77777777" w:rsidR="00E642F7" w:rsidRPr="00F90ED5" w:rsidRDefault="00E642F7" w:rsidP="003F0E49">
      <w:r w:rsidRPr="00F90ED5">
        <w:t> </w:t>
      </w:r>
    </w:p>
    <w:p w14:paraId="0FE95AF1" w14:textId="77777777" w:rsidR="00E642F7" w:rsidRPr="00F90ED5" w:rsidRDefault="00E642F7" w:rsidP="003F0E49">
      <w:r w:rsidRPr="00F90ED5">
        <w:rPr>
          <w:noProof/>
        </w:rPr>
        <w:drawing>
          <wp:inline distT="0" distB="0" distL="0" distR="0" wp14:anchorId="21C6A218" wp14:editId="5C452824">
            <wp:extent cx="219075" cy="219075"/>
            <wp:effectExtent l="0" t="0" r="9525" b="9525"/>
            <wp:docPr id="1" name="Image 1"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capture d’écran, conception&#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F90ED5">
        <w:t> Attention, les revenus distribués à une société passible de l’IS et contrôlée par le redevable doivent être réintégrés dans le calcul du plafonnement, pour la part correspondant à une diminution artificielle des revenus, si l’existence de cette société et le choix d’y recourir ont pour objet principal d’éluder tout ou partie de l’IFI.</w:t>
      </w:r>
    </w:p>
    <w:p w14:paraId="06528DE5" w14:textId="77777777" w:rsidR="00E642F7" w:rsidRPr="00F90ED5" w:rsidRDefault="00E642F7" w:rsidP="003F0E49">
      <w:r w:rsidRPr="00F90ED5">
        <w:t> </w:t>
      </w:r>
    </w:p>
    <w:p w14:paraId="281A4277" w14:textId="77777777" w:rsidR="00E642F7" w:rsidRPr="00F90ED5" w:rsidRDefault="00E642F7" w:rsidP="003F0E49">
      <w:r w:rsidRPr="00F90ED5">
        <w:t>En cas de désaccord sur les rectifications notifiées par l’administration sur ce fondement, le litige est soumis à l’avis du comité de l’abus de droit fiscal. Si l’administration ne se conforme pas à son avis, elle doit prouver le bien-fondé de la rectification.</w:t>
      </w:r>
    </w:p>
    <w:p w14:paraId="12749285" w14:textId="77777777" w:rsidR="00E642F7" w:rsidRPr="00F90ED5" w:rsidRDefault="00E642F7" w:rsidP="00E642F7">
      <w:pPr>
        <w:spacing w:after="0" w:line="240" w:lineRule="auto"/>
        <w:textAlignment w:val="baseline"/>
        <w:rPr>
          <w:rFonts w:eastAsia="Times New Roman" w:cs="Open Sans"/>
          <w:color w:val="666666"/>
          <w:sz w:val="21"/>
          <w:szCs w:val="21"/>
          <w:lang w:eastAsia="fr-FR"/>
        </w:rPr>
      </w:pPr>
      <w:r w:rsidRPr="00F90ED5">
        <w:rPr>
          <w:rFonts w:eastAsia="Times New Roman" w:cs="Open Sans"/>
          <w:b/>
          <w:bCs/>
          <w:i/>
          <w:iCs/>
          <w:color w:val="666666"/>
          <w:sz w:val="21"/>
          <w:szCs w:val="21"/>
          <w:bdr w:val="none" w:sz="0" w:space="0" w:color="auto" w:frame="1"/>
          <w:lang w:eastAsia="fr-FR"/>
        </w:rPr>
        <w:t> </w:t>
      </w:r>
    </w:p>
    <w:p w14:paraId="1D25B024" w14:textId="77777777" w:rsidR="00E642F7" w:rsidRPr="00F90ED5" w:rsidRDefault="00E642F7" w:rsidP="00583473">
      <w:pPr>
        <w:pStyle w:val="Titre4"/>
      </w:pPr>
      <w:bookmarkStart w:id="31" w:name="_Toc172550933"/>
      <w:r w:rsidRPr="00F90ED5">
        <w:t>Délais de prescription</w:t>
      </w:r>
      <w:bookmarkEnd w:id="31"/>
    </w:p>
    <w:p w14:paraId="49E314EB" w14:textId="77777777" w:rsidR="00E642F7" w:rsidRPr="00F90ED5" w:rsidRDefault="00E642F7" w:rsidP="003F0E49">
      <w:r w:rsidRPr="00F90ED5">
        <w:t>Le droit de réparer les omissions ou les insuffisances dont dispose l’administration ne peut être exercé que dans un certain délai fixé par la loi nommé « délai de prescription »</w:t>
      </w:r>
    </w:p>
    <w:p w14:paraId="27A64BEC" w14:textId="59C7866C" w:rsidR="00E642F7" w:rsidRPr="00F90ED5" w:rsidRDefault="00E642F7" w:rsidP="003F0E49">
      <w:r w:rsidRPr="00F90ED5">
        <w:t>&gt;La prescription est de 6 ans en l’absence de déclaration d’IFI, omission de biens,</w:t>
      </w:r>
      <w:r w:rsidR="0065092D" w:rsidRPr="00F90ED5">
        <w:t xml:space="preserve"> de</w:t>
      </w:r>
      <w:r w:rsidRPr="00F90ED5">
        <w:t xml:space="preserve"> droits.</w:t>
      </w:r>
    </w:p>
    <w:p w14:paraId="31BB5A54" w14:textId="77777777" w:rsidR="00E642F7" w:rsidRPr="00F90ED5" w:rsidRDefault="00E642F7" w:rsidP="003F0E49">
      <w:r w:rsidRPr="00F90ED5">
        <w:t>&gt;la prescription est de 3 ans pour les insuffisances d’évaluation et la remise en cause des éléments du passif dûment déclarés et justifiés.</w:t>
      </w:r>
    </w:p>
    <w:p w14:paraId="7B8507D4" w14:textId="128FA4DC" w:rsidR="007D0CA4" w:rsidRPr="00F90ED5" w:rsidRDefault="00E642F7" w:rsidP="003F0E49">
      <w:r w:rsidRPr="00F90ED5">
        <w:t>&gt;la prescription de 10</w:t>
      </w:r>
      <w:r w:rsidR="0065092D" w:rsidRPr="00F90ED5">
        <w:t xml:space="preserve"> </w:t>
      </w:r>
      <w:r w:rsidRPr="00F90ED5">
        <w:t>ans s’applique pour les biens, droits ou valeurs détenues à l’étranger.</w:t>
      </w:r>
    </w:p>
    <w:p w14:paraId="2BB453EE" w14:textId="77777777" w:rsidR="007D0CA4" w:rsidRPr="00F90ED5" w:rsidRDefault="007D0CA4" w:rsidP="007D0CA4">
      <w:pPr>
        <w:pStyle w:val="CGPC-elearning"/>
      </w:pPr>
      <w:r w:rsidRPr="00F90ED5">
        <w:br w:type="page"/>
      </w:r>
    </w:p>
    <w:p w14:paraId="1FB2345D" w14:textId="386D293B" w:rsidR="00E642F7" w:rsidRPr="00F90ED5" w:rsidRDefault="007D0CA4" w:rsidP="00ED262F">
      <w:pPr>
        <w:jc w:val="center"/>
        <w:rPr>
          <w:b/>
          <w:bCs/>
          <w:sz w:val="52"/>
          <w:szCs w:val="52"/>
        </w:rPr>
      </w:pPr>
      <w:r w:rsidRPr="00F90ED5">
        <w:rPr>
          <w:b/>
          <w:bCs/>
          <w:sz w:val="52"/>
          <w:szCs w:val="52"/>
        </w:rPr>
        <w:lastRenderedPageBreak/>
        <w:t>Glossaire</w:t>
      </w:r>
    </w:p>
    <w:p w14:paraId="328D834F" w14:textId="2930983F" w:rsidR="00ED262F" w:rsidRPr="00F90ED5" w:rsidRDefault="00ED262F" w:rsidP="00ED262F">
      <w:pPr>
        <w:pStyle w:val="CGPC-elearning"/>
      </w:pPr>
      <w:r w:rsidRPr="00ED262F">
        <w:t xml:space="preserve">Une </w:t>
      </w:r>
      <w:bookmarkStart w:id="32" w:name="Tontine"/>
      <w:r w:rsidRPr="00ED262F">
        <w:rPr>
          <w:b/>
        </w:rPr>
        <w:t>tontine</w:t>
      </w:r>
      <w:bookmarkEnd w:id="32"/>
      <w:r w:rsidRPr="00ED262F">
        <w:t xml:space="preserve"> est un contrat ou une convention par lequel plusieurs personnes s'associent pour acquérir un bien commun, généralement immobilier, avec une clause spécifique : le dernier survivant des associés devient le seul propriétaire du bien. Ce mécanisme est souvent utilisé pour éviter l'indivision ou simplifier la transmission d'un bien.</w:t>
      </w:r>
    </w:p>
    <w:p w14:paraId="600D31B5" w14:textId="77777777" w:rsidR="00146C7C" w:rsidRPr="00ED262F" w:rsidRDefault="00146C7C" w:rsidP="00ED262F">
      <w:pPr>
        <w:pStyle w:val="CGPC-elearning"/>
      </w:pPr>
    </w:p>
    <w:p w14:paraId="7A8B0258" w14:textId="77777777" w:rsidR="007D0CA4" w:rsidRPr="00F90ED5" w:rsidRDefault="007D0CA4" w:rsidP="007D0CA4">
      <w:pPr>
        <w:pStyle w:val="CGPC-elearning"/>
        <w:rPr>
          <w:lang w:eastAsia="en-US"/>
        </w:rPr>
      </w:pPr>
    </w:p>
    <w:p w14:paraId="23E68305" w14:textId="6AA98A51" w:rsidR="00E642F7" w:rsidRPr="00F90ED5" w:rsidRDefault="00E642F7" w:rsidP="00410088">
      <w:r w:rsidRPr="00F90ED5">
        <w:t> </w:t>
      </w:r>
    </w:p>
    <w:p w14:paraId="6B1CDAD7" w14:textId="5D3D1288" w:rsidR="000E46A3" w:rsidRPr="006134D8" w:rsidRDefault="000E46A3" w:rsidP="0047315F">
      <w:pPr>
        <w:pStyle w:val="CGPC-elearning"/>
      </w:pPr>
    </w:p>
    <w:sectPr w:rsidR="000E46A3" w:rsidRPr="006134D8" w:rsidSect="00B11B96">
      <w:headerReference w:type="default" r:id="rId13"/>
      <w:footerReference w:type="default" r:id="rId14"/>
      <w:headerReference w:type="first" r:id="rId15"/>
      <w:footerReference w:type="first" r:id="rId16"/>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8E95B" w14:textId="77777777" w:rsidR="00FD0D0F" w:rsidRPr="00F90ED5" w:rsidRDefault="00FD0D0F" w:rsidP="002020F9">
      <w:pPr>
        <w:spacing w:after="0" w:line="240" w:lineRule="auto"/>
      </w:pPr>
      <w:r w:rsidRPr="00F90ED5">
        <w:separator/>
      </w:r>
    </w:p>
  </w:endnote>
  <w:endnote w:type="continuationSeparator" w:id="0">
    <w:p w14:paraId="2CC6844E" w14:textId="77777777" w:rsidR="00FD0D0F" w:rsidRPr="00F90ED5" w:rsidRDefault="00FD0D0F" w:rsidP="002020F9">
      <w:pPr>
        <w:spacing w:after="0" w:line="240" w:lineRule="auto"/>
      </w:pPr>
      <w:r w:rsidRPr="00F90ED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E3B54735-3DD7-401C-A7D8-5FCADD5B16E4}"/>
    <w:embedBold r:id="rId2" w:fontKey="{3338A4D5-10EE-4386-9398-853DE1462BD1}"/>
    <w:embedItalic r:id="rId3" w:fontKey="{659F3AF9-E549-4531-A062-DE112D587B34}"/>
    <w:embedBoldItalic r:id="rId4" w:fontKey="{CCD40226-7CBF-44AB-B2FA-44CAE0B8CFA2}"/>
  </w:font>
  <w:font w:name="Calibri">
    <w:panose1 w:val="020F0502020204030204"/>
    <w:charset w:val="00"/>
    <w:family w:val="swiss"/>
    <w:pitch w:val="variable"/>
    <w:sig w:usb0="E4002EFF" w:usb1="C200247B" w:usb2="00000009" w:usb3="00000000" w:csb0="000001FF" w:csb1="00000000"/>
    <w:embedRegular r:id="rId5" w:fontKey="{17512408-0BD2-4825-BF3A-58C2445EE80C}"/>
    <w:embedBold r:id="rId6" w:fontKey="{77B926CB-922F-418B-BF62-C687AAA8527C}"/>
    <w:embedItalic r:id="rId7" w:fontKey="{56098470-646A-4271-A5E4-11B3919CFBCC}"/>
    <w:embedBoldItalic r:id="rId8" w:fontKey="{281CB8D4-16C0-45BD-8682-5AFC324CC64F}"/>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1499526D-8EA4-4DE7-B0D8-5F7994D445B7}"/>
  </w:font>
  <w:font w:name="Fira Sans">
    <w:panose1 w:val="020B0503050000020004"/>
    <w:charset w:val="00"/>
    <w:family w:val="swiss"/>
    <w:pitch w:val="variable"/>
    <w:sig w:usb0="600002FF" w:usb1="00000001" w:usb2="00000000" w:usb3="00000000" w:csb0="0000019F" w:csb1="00000000"/>
    <w:embedRegular r:id="rId10" w:fontKey="{F47634B3-81B1-4F00-A07A-7DF163A064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9688769"/>
      <w:docPartObj>
        <w:docPartGallery w:val="Page Numbers (Bottom of Page)"/>
        <w:docPartUnique/>
      </w:docPartObj>
    </w:sdtPr>
    <w:sdtContent>
      <w:p w14:paraId="2D06D517" w14:textId="369D11C4" w:rsidR="000138BB" w:rsidRPr="00F90ED5" w:rsidRDefault="000138BB">
        <w:pPr>
          <w:pStyle w:val="Pieddepage"/>
        </w:pPr>
        <w:r w:rsidRPr="00F90ED5">
          <w:fldChar w:fldCharType="begin"/>
        </w:r>
        <w:r w:rsidRPr="00F90ED5">
          <w:instrText>PAGE   \* MERGEFORMAT</w:instrText>
        </w:r>
        <w:r w:rsidRPr="00F90ED5">
          <w:fldChar w:fldCharType="separate"/>
        </w:r>
        <w:r w:rsidRPr="00F90ED5">
          <w:t>2</w:t>
        </w:r>
        <w:r w:rsidRPr="00F90ED5">
          <w:fldChar w:fldCharType="end"/>
        </w:r>
        <w:r w:rsidRPr="00F90ED5">
          <w:t xml:space="preserve"> </w:t>
        </w:r>
        <w:r w:rsidRPr="00F90ED5">
          <w:rPr>
            <w:sz w:val="22"/>
          </w:rPr>
          <w:t>Copyright© CGPC Développement®</w:t>
        </w:r>
      </w:p>
    </w:sdtContent>
  </w:sdt>
  <w:p w14:paraId="3501AC1B" w14:textId="142B5255" w:rsidR="004F18AF" w:rsidRPr="00F90ED5" w:rsidRDefault="004F18AF" w:rsidP="004F18AF">
    <w:pPr>
      <w:pStyle w:val="Pieddepage"/>
      <w:jc w:val="center"/>
      <w:rPr>
        <w:i/>
        <w:iCs/>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135797"/>
      <w:docPartObj>
        <w:docPartGallery w:val="Page Numbers (Bottom of Page)"/>
        <w:docPartUnique/>
      </w:docPartObj>
    </w:sdtPr>
    <w:sdtContent>
      <w:p w14:paraId="33A39CA4" w14:textId="406BF01C" w:rsidR="0024671B" w:rsidRPr="00F90ED5" w:rsidRDefault="0024671B">
        <w:pPr>
          <w:pStyle w:val="Pieddepage"/>
        </w:pPr>
        <w:r w:rsidRPr="00F90ED5">
          <w:fldChar w:fldCharType="begin"/>
        </w:r>
        <w:r w:rsidRPr="00F90ED5">
          <w:instrText>PAGE   \* MERGEFORMAT</w:instrText>
        </w:r>
        <w:r w:rsidRPr="00F90ED5">
          <w:fldChar w:fldCharType="separate"/>
        </w:r>
        <w:r w:rsidRPr="00F90ED5">
          <w:t>2</w:t>
        </w:r>
        <w:r w:rsidRPr="00F90ED5">
          <w:fldChar w:fldCharType="end"/>
        </w:r>
        <w:r w:rsidRPr="00F90ED5">
          <w:t xml:space="preserve"> </w:t>
        </w:r>
        <w:r w:rsidRPr="00F90ED5">
          <w:rPr>
            <w:sz w:val="22"/>
          </w:rPr>
          <w:t>Copyright© CGPC Développement®</w:t>
        </w:r>
      </w:p>
    </w:sdtContent>
  </w:sdt>
  <w:p w14:paraId="1FF66CFC" w14:textId="77777777" w:rsidR="002528FF" w:rsidRPr="00F90ED5" w:rsidRDefault="002528F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6FCB6B" w14:textId="77777777" w:rsidR="00FD0D0F" w:rsidRPr="00F90ED5" w:rsidRDefault="00FD0D0F" w:rsidP="002020F9">
      <w:pPr>
        <w:spacing w:after="0" w:line="240" w:lineRule="auto"/>
      </w:pPr>
      <w:r w:rsidRPr="00F90ED5">
        <w:separator/>
      </w:r>
    </w:p>
  </w:footnote>
  <w:footnote w:type="continuationSeparator" w:id="0">
    <w:p w14:paraId="2E0C8308" w14:textId="77777777" w:rsidR="00FD0D0F" w:rsidRPr="00F90ED5" w:rsidRDefault="00FD0D0F" w:rsidP="002020F9">
      <w:pPr>
        <w:spacing w:after="0" w:line="240" w:lineRule="auto"/>
      </w:pPr>
      <w:r w:rsidRPr="00F90ED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0AFC" w14:textId="007B0A20" w:rsidR="007811C9" w:rsidRPr="00F90ED5" w:rsidRDefault="007811C9">
    <w:pPr>
      <w:pStyle w:val="En-tte"/>
    </w:pPr>
    <w:r w:rsidRPr="00F90ED5">
      <w:rPr>
        <w:noProof/>
      </w:rPr>
      <mc:AlternateContent>
        <mc:Choice Requires="wps">
          <w:drawing>
            <wp:anchor distT="0" distB="0" distL="118745" distR="118745" simplePos="0" relativeHeight="251661312" behindDoc="1" locked="0" layoutInCell="1" allowOverlap="0" wp14:anchorId="0B4027FF" wp14:editId="374B2839">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735277862"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544475977"/>
                            <w:dataBinding w:prefixMappings="xmlns:ns0='http://purl.org/dc/elements/1.1/' xmlns:ns1='http://schemas.openxmlformats.org/package/2006/metadata/core-properties' " w:xpath="/ns1:coreProperties[1]/ns0:title[1]" w:storeItemID="{6C3C8BC8-F283-45AE-878A-BAB7291924A1}"/>
                            <w:text/>
                          </w:sdtPr>
                          <w:sdtContent>
                            <w:p w14:paraId="5D9AC3DB" w14:textId="6FB3F0B1" w:rsidR="007811C9" w:rsidRPr="00F90ED5" w:rsidRDefault="007811C9">
                              <w:pPr>
                                <w:pStyle w:val="En-tte"/>
                                <w:jc w:val="center"/>
                                <w:rPr>
                                  <w:caps/>
                                  <w:color w:val="FFFFFF" w:themeColor="background1"/>
                                </w:rPr>
                              </w:pPr>
                              <w:r w:rsidRPr="00F90ED5">
                                <w:rPr>
                                  <w:caps/>
                                  <w:color w:val="FFFFFF" w:themeColor="background1"/>
                                </w:rPr>
                                <w:t>Chapitre 1 : Impôt sur la fortune immobilière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B4027FF" id="Rectangle 200" o:spid="_x0000_s1026" style="position:absolute;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544475977"/>
                      <w:dataBinding w:prefixMappings="xmlns:ns0='http://purl.org/dc/elements/1.1/' xmlns:ns1='http://schemas.openxmlformats.org/package/2006/metadata/core-properties' " w:xpath="/ns1:coreProperties[1]/ns0:title[1]" w:storeItemID="{6C3C8BC8-F283-45AE-878A-BAB7291924A1}"/>
                      <w:text/>
                    </w:sdtPr>
                    <w:sdtContent>
                      <w:p w14:paraId="5D9AC3DB" w14:textId="6FB3F0B1" w:rsidR="007811C9" w:rsidRPr="00F90ED5" w:rsidRDefault="007811C9">
                        <w:pPr>
                          <w:pStyle w:val="En-tte"/>
                          <w:jc w:val="center"/>
                          <w:rPr>
                            <w:caps/>
                            <w:color w:val="FFFFFF" w:themeColor="background1"/>
                          </w:rPr>
                        </w:pPr>
                        <w:r w:rsidRPr="00F90ED5">
                          <w:rPr>
                            <w:caps/>
                            <w:color w:val="FFFFFF" w:themeColor="background1"/>
                          </w:rPr>
                          <w:t>Chapitre 1 : Impôt sur la fortune immobilière</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C8C16" w14:textId="27E2B741" w:rsidR="0089264E" w:rsidRPr="00F90ED5" w:rsidRDefault="0089264E">
    <w:pPr>
      <w:pStyle w:val="En-tte"/>
    </w:pPr>
    <w:r w:rsidRPr="00F90ED5">
      <w:rPr>
        <w:noProof/>
      </w:rPr>
      <mc:AlternateContent>
        <mc:Choice Requires="wps">
          <w:drawing>
            <wp:anchor distT="0" distB="0" distL="118745" distR="118745" simplePos="0" relativeHeight="251659264" behindDoc="1" locked="0" layoutInCell="1" allowOverlap="0" wp14:anchorId="3F9D0DCF" wp14:editId="072785D6">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8C7D7CC" w14:textId="34038026" w:rsidR="0089264E" w:rsidRPr="00F90ED5" w:rsidRDefault="0089264E">
                              <w:pPr>
                                <w:pStyle w:val="En-tte"/>
                                <w:jc w:val="center"/>
                                <w:rPr>
                                  <w:caps/>
                                  <w:color w:val="FFFFFF" w:themeColor="background1"/>
                                </w:rPr>
                              </w:pPr>
                              <w:r w:rsidRPr="00F90ED5">
                                <w:rPr>
                                  <w:caps/>
                                  <w:color w:val="FFFFFF" w:themeColor="background1"/>
                                </w:rPr>
                                <w:t>Chapitre 1 : Impôt sur la fortune immobilière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F9D0DCF" id="_x0000_s1027"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8C7D7CC" w14:textId="34038026" w:rsidR="0089264E" w:rsidRPr="00F90ED5" w:rsidRDefault="0089264E">
                        <w:pPr>
                          <w:pStyle w:val="En-tte"/>
                          <w:jc w:val="center"/>
                          <w:rPr>
                            <w:caps/>
                            <w:color w:val="FFFFFF" w:themeColor="background1"/>
                          </w:rPr>
                        </w:pPr>
                        <w:r w:rsidRPr="00F90ED5">
                          <w:rPr>
                            <w:caps/>
                            <w:color w:val="FFFFFF" w:themeColor="background1"/>
                          </w:rPr>
                          <w:t>Chapitre 1 : Impôt sur la fortune immobilière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65E4D"/>
    <w:multiLevelType w:val="multilevel"/>
    <w:tmpl w:val="FE328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08856F1"/>
    <w:multiLevelType w:val="hybridMultilevel"/>
    <w:tmpl w:val="F73C72AC"/>
    <w:lvl w:ilvl="0" w:tplc="F0323CA6">
      <w:start w:val="1"/>
      <w:numFmt w:val="upperLetter"/>
      <w:pStyle w:val="Titre3"/>
      <w:lvlText w:val="%1."/>
      <w:lvlJc w:val="left"/>
      <w:pPr>
        <w:ind w:left="749"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 w15:restartNumberingAfterBreak="0">
    <w:nsid w:val="1BD74242"/>
    <w:multiLevelType w:val="hybridMultilevel"/>
    <w:tmpl w:val="50CC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F64365"/>
    <w:multiLevelType w:val="hybridMultilevel"/>
    <w:tmpl w:val="68A61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7319C0"/>
    <w:multiLevelType w:val="hybridMultilevel"/>
    <w:tmpl w:val="2E90D5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481E9B"/>
    <w:multiLevelType w:val="hybridMultilevel"/>
    <w:tmpl w:val="9AA2C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015385"/>
    <w:multiLevelType w:val="hybridMultilevel"/>
    <w:tmpl w:val="9C5E5548"/>
    <w:lvl w:ilvl="0" w:tplc="0E923D12">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3D867A6F"/>
    <w:multiLevelType w:val="hybridMultilevel"/>
    <w:tmpl w:val="A9D60A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7B24B8"/>
    <w:multiLevelType w:val="hybridMultilevel"/>
    <w:tmpl w:val="F8209F52"/>
    <w:lvl w:ilvl="0" w:tplc="128011C6">
      <w:start w:val="1"/>
      <w:numFmt w:val="lowerLetter"/>
      <w:pStyle w:val="Titre4"/>
      <w:lvlText w:val="%1."/>
      <w:lvlJc w:val="left"/>
      <w:pPr>
        <w:ind w:left="36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 w15:restartNumberingAfterBreak="0">
    <w:nsid w:val="440420A5"/>
    <w:multiLevelType w:val="hybridMultilevel"/>
    <w:tmpl w:val="1D2693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4407"/>
    <w:multiLevelType w:val="multilevel"/>
    <w:tmpl w:val="8EC81DDA"/>
    <w:lvl w:ilvl="0">
      <w:start w:val="1"/>
      <w:numFmt w:val="decimal"/>
      <w:pStyle w:val="Titre2"/>
      <w:lvlText w:val="%1."/>
      <w:lvlJc w:val="left"/>
      <w:pPr>
        <w:ind w:left="630"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12" w15:restartNumberingAfterBreak="0">
    <w:nsid w:val="498F3860"/>
    <w:multiLevelType w:val="hybridMultilevel"/>
    <w:tmpl w:val="DDA8F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B297E54"/>
    <w:multiLevelType w:val="hybridMultilevel"/>
    <w:tmpl w:val="59A0DCFC"/>
    <w:lvl w:ilvl="0" w:tplc="0DC0FDF8">
      <w:start w:val="1"/>
      <w:numFmt w:val="lowerRoman"/>
      <w:pStyle w:val="Titre6"/>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1A7E2B"/>
    <w:multiLevelType w:val="hybridMultilevel"/>
    <w:tmpl w:val="20E69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2673491"/>
    <w:multiLevelType w:val="hybridMultilevel"/>
    <w:tmpl w:val="B6046A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47E7A"/>
    <w:multiLevelType w:val="hybridMultilevel"/>
    <w:tmpl w:val="40F45102"/>
    <w:lvl w:ilvl="0" w:tplc="9F8663DA">
      <w:numFmt w:val="bullet"/>
      <w:lvlText w:val="-"/>
      <w:lvlJc w:val="left"/>
      <w:pPr>
        <w:ind w:left="720" w:hanging="360"/>
      </w:pPr>
      <w:rPr>
        <w:rFonts w:ascii="Open Sans" w:eastAsiaTheme="minorHAnsi" w:hAnsi="Open Sans" w:cs="Open 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CD7B44"/>
    <w:multiLevelType w:val="hybridMultilevel"/>
    <w:tmpl w:val="7FCC172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0767519">
    <w:abstractNumId w:val="11"/>
  </w:num>
  <w:num w:numId="2" w16cid:durableId="1427118286">
    <w:abstractNumId w:val="9"/>
  </w:num>
  <w:num w:numId="3" w16cid:durableId="1858275718">
    <w:abstractNumId w:val="1"/>
  </w:num>
  <w:num w:numId="4" w16cid:durableId="1906524701">
    <w:abstractNumId w:val="6"/>
  </w:num>
  <w:num w:numId="5" w16cid:durableId="1907568454">
    <w:abstractNumId w:val="7"/>
  </w:num>
  <w:num w:numId="6" w16cid:durableId="1562251807">
    <w:abstractNumId w:val="13"/>
  </w:num>
  <w:num w:numId="7" w16cid:durableId="2000451939">
    <w:abstractNumId w:val="1"/>
    <w:lvlOverride w:ilvl="0">
      <w:startOverride w:val="1"/>
    </w:lvlOverride>
  </w:num>
  <w:num w:numId="8" w16cid:durableId="660161107">
    <w:abstractNumId w:val="9"/>
    <w:lvlOverride w:ilvl="0">
      <w:startOverride w:val="1"/>
    </w:lvlOverride>
  </w:num>
  <w:num w:numId="9" w16cid:durableId="389157566">
    <w:abstractNumId w:val="9"/>
    <w:lvlOverride w:ilvl="0">
      <w:startOverride w:val="1"/>
    </w:lvlOverride>
  </w:num>
  <w:num w:numId="10" w16cid:durableId="1269965250">
    <w:abstractNumId w:val="16"/>
  </w:num>
  <w:num w:numId="11" w16cid:durableId="2046173029">
    <w:abstractNumId w:val="9"/>
    <w:lvlOverride w:ilvl="0">
      <w:startOverride w:val="1"/>
    </w:lvlOverride>
  </w:num>
  <w:num w:numId="12" w16cid:durableId="182599888">
    <w:abstractNumId w:val="2"/>
  </w:num>
  <w:num w:numId="13" w16cid:durableId="1215198932">
    <w:abstractNumId w:val="0"/>
  </w:num>
  <w:num w:numId="14" w16cid:durableId="1533419516">
    <w:abstractNumId w:val="12"/>
  </w:num>
  <w:num w:numId="15" w16cid:durableId="357508340">
    <w:abstractNumId w:val="14"/>
  </w:num>
  <w:num w:numId="16" w16cid:durableId="825636019">
    <w:abstractNumId w:val="15"/>
  </w:num>
  <w:num w:numId="17" w16cid:durableId="1749304462">
    <w:abstractNumId w:val="8"/>
  </w:num>
  <w:num w:numId="18" w16cid:durableId="1509903800">
    <w:abstractNumId w:val="10"/>
  </w:num>
  <w:num w:numId="19" w16cid:durableId="873811575">
    <w:abstractNumId w:val="17"/>
  </w:num>
  <w:num w:numId="20" w16cid:durableId="1139349238">
    <w:abstractNumId w:val="3"/>
  </w:num>
  <w:num w:numId="21" w16cid:durableId="1825320236">
    <w:abstractNumId w:val="5"/>
  </w:num>
  <w:num w:numId="22" w16cid:durableId="491681927">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06"/>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138BB"/>
    <w:rsid w:val="00014C10"/>
    <w:rsid w:val="0001567E"/>
    <w:rsid w:val="00033C6F"/>
    <w:rsid w:val="00074CCE"/>
    <w:rsid w:val="00075E24"/>
    <w:rsid w:val="000760B6"/>
    <w:rsid w:val="000B415C"/>
    <w:rsid w:val="000C1FBE"/>
    <w:rsid w:val="000C2B3F"/>
    <w:rsid w:val="000C5F54"/>
    <w:rsid w:val="000E46A3"/>
    <w:rsid w:val="00101D52"/>
    <w:rsid w:val="00112790"/>
    <w:rsid w:val="001238EF"/>
    <w:rsid w:val="001243A6"/>
    <w:rsid w:val="001304F6"/>
    <w:rsid w:val="00133AA2"/>
    <w:rsid w:val="00146C7C"/>
    <w:rsid w:val="001525E5"/>
    <w:rsid w:val="00173E9A"/>
    <w:rsid w:val="0018366C"/>
    <w:rsid w:val="001A19A6"/>
    <w:rsid w:val="001B0D2C"/>
    <w:rsid w:val="001E3EA4"/>
    <w:rsid w:val="001E4AAA"/>
    <w:rsid w:val="001E58CB"/>
    <w:rsid w:val="001F256B"/>
    <w:rsid w:val="00200B59"/>
    <w:rsid w:val="002020F9"/>
    <w:rsid w:val="00204175"/>
    <w:rsid w:val="002109AE"/>
    <w:rsid w:val="002147C4"/>
    <w:rsid w:val="0022144B"/>
    <w:rsid w:val="00233D58"/>
    <w:rsid w:val="00241897"/>
    <w:rsid w:val="002420D8"/>
    <w:rsid w:val="0024671B"/>
    <w:rsid w:val="002528FF"/>
    <w:rsid w:val="002618CE"/>
    <w:rsid w:val="00281D43"/>
    <w:rsid w:val="002863E1"/>
    <w:rsid w:val="002A4C01"/>
    <w:rsid w:val="002B63ED"/>
    <w:rsid w:val="002B65BE"/>
    <w:rsid w:val="002C136F"/>
    <w:rsid w:val="002C33B3"/>
    <w:rsid w:val="002D5630"/>
    <w:rsid w:val="002E7C98"/>
    <w:rsid w:val="002F1FB8"/>
    <w:rsid w:val="00304BF4"/>
    <w:rsid w:val="0030508E"/>
    <w:rsid w:val="00315DDA"/>
    <w:rsid w:val="00326184"/>
    <w:rsid w:val="00350BD5"/>
    <w:rsid w:val="00361158"/>
    <w:rsid w:val="0036727B"/>
    <w:rsid w:val="00372EC8"/>
    <w:rsid w:val="00395D9F"/>
    <w:rsid w:val="003A2E05"/>
    <w:rsid w:val="003B26F7"/>
    <w:rsid w:val="003B49DC"/>
    <w:rsid w:val="003C1F8F"/>
    <w:rsid w:val="003E5B81"/>
    <w:rsid w:val="003F0E49"/>
    <w:rsid w:val="004072A7"/>
    <w:rsid w:val="00410088"/>
    <w:rsid w:val="00424F4F"/>
    <w:rsid w:val="0042565E"/>
    <w:rsid w:val="00430A26"/>
    <w:rsid w:val="00431634"/>
    <w:rsid w:val="00451B43"/>
    <w:rsid w:val="00461953"/>
    <w:rsid w:val="0046546F"/>
    <w:rsid w:val="0047315F"/>
    <w:rsid w:val="00495AFE"/>
    <w:rsid w:val="004A104B"/>
    <w:rsid w:val="004B39C6"/>
    <w:rsid w:val="004C1D8F"/>
    <w:rsid w:val="004C5E68"/>
    <w:rsid w:val="004E4E46"/>
    <w:rsid w:val="004F06C2"/>
    <w:rsid w:val="004F18AF"/>
    <w:rsid w:val="004F2499"/>
    <w:rsid w:val="004F2BE2"/>
    <w:rsid w:val="004F7075"/>
    <w:rsid w:val="0050543B"/>
    <w:rsid w:val="005112CB"/>
    <w:rsid w:val="005127E4"/>
    <w:rsid w:val="005146B9"/>
    <w:rsid w:val="00523ED1"/>
    <w:rsid w:val="00537F75"/>
    <w:rsid w:val="00543057"/>
    <w:rsid w:val="0054632F"/>
    <w:rsid w:val="00552D7D"/>
    <w:rsid w:val="00557F02"/>
    <w:rsid w:val="0056113C"/>
    <w:rsid w:val="00563C2E"/>
    <w:rsid w:val="00566450"/>
    <w:rsid w:val="00566BDA"/>
    <w:rsid w:val="0057136E"/>
    <w:rsid w:val="00583473"/>
    <w:rsid w:val="005842CB"/>
    <w:rsid w:val="0058472E"/>
    <w:rsid w:val="005911A5"/>
    <w:rsid w:val="00593DBA"/>
    <w:rsid w:val="005941FD"/>
    <w:rsid w:val="005F0983"/>
    <w:rsid w:val="00624CAE"/>
    <w:rsid w:val="0062781F"/>
    <w:rsid w:val="006325C6"/>
    <w:rsid w:val="006373CB"/>
    <w:rsid w:val="00641EB5"/>
    <w:rsid w:val="0065092D"/>
    <w:rsid w:val="00673AD4"/>
    <w:rsid w:val="00677448"/>
    <w:rsid w:val="00693FA1"/>
    <w:rsid w:val="006B7742"/>
    <w:rsid w:val="006C53B1"/>
    <w:rsid w:val="006E2203"/>
    <w:rsid w:val="00717890"/>
    <w:rsid w:val="00734703"/>
    <w:rsid w:val="00737F86"/>
    <w:rsid w:val="00755B60"/>
    <w:rsid w:val="00761CE5"/>
    <w:rsid w:val="00767690"/>
    <w:rsid w:val="007762A4"/>
    <w:rsid w:val="00780465"/>
    <w:rsid w:val="00780DB1"/>
    <w:rsid w:val="007811C9"/>
    <w:rsid w:val="007814E2"/>
    <w:rsid w:val="00785A57"/>
    <w:rsid w:val="007A379E"/>
    <w:rsid w:val="007A40C0"/>
    <w:rsid w:val="007D0CA4"/>
    <w:rsid w:val="007D63C1"/>
    <w:rsid w:val="007E10CF"/>
    <w:rsid w:val="008167BB"/>
    <w:rsid w:val="0082067F"/>
    <w:rsid w:val="00834AAF"/>
    <w:rsid w:val="00836DAC"/>
    <w:rsid w:val="0083792B"/>
    <w:rsid w:val="00854FEF"/>
    <w:rsid w:val="00860A44"/>
    <w:rsid w:val="0089264E"/>
    <w:rsid w:val="008A54C9"/>
    <w:rsid w:val="008B0BC3"/>
    <w:rsid w:val="008C7363"/>
    <w:rsid w:val="008D272E"/>
    <w:rsid w:val="008D4193"/>
    <w:rsid w:val="008D7575"/>
    <w:rsid w:val="008E0D45"/>
    <w:rsid w:val="0090621A"/>
    <w:rsid w:val="009063DF"/>
    <w:rsid w:val="00910D5B"/>
    <w:rsid w:val="00913774"/>
    <w:rsid w:val="00925226"/>
    <w:rsid w:val="009253FC"/>
    <w:rsid w:val="00937625"/>
    <w:rsid w:val="00943999"/>
    <w:rsid w:val="009443AB"/>
    <w:rsid w:val="009455D4"/>
    <w:rsid w:val="00946AF7"/>
    <w:rsid w:val="0098135F"/>
    <w:rsid w:val="00984F19"/>
    <w:rsid w:val="009A61A2"/>
    <w:rsid w:val="009F1499"/>
    <w:rsid w:val="00A035B3"/>
    <w:rsid w:val="00A10DA7"/>
    <w:rsid w:val="00A13493"/>
    <w:rsid w:val="00A2372E"/>
    <w:rsid w:val="00A33950"/>
    <w:rsid w:val="00A434D0"/>
    <w:rsid w:val="00A4586A"/>
    <w:rsid w:val="00A535E4"/>
    <w:rsid w:val="00A53B0D"/>
    <w:rsid w:val="00A7577F"/>
    <w:rsid w:val="00A76B0B"/>
    <w:rsid w:val="00A87FD6"/>
    <w:rsid w:val="00A92756"/>
    <w:rsid w:val="00AA6E58"/>
    <w:rsid w:val="00AA7210"/>
    <w:rsid w:val="00AB0D16"/>
    <w:rsid w:val="00AB5284"/>
    <w:rsid w:val="00AC08C0"/>
    <w:rsid w:val="00AC3233"/>
    <w:rsid w:val="00AC4FFD"/>
    <w:rsid w:val="00AF0EA1"/>
    <w:rsid w:val="00AF59E6"/>
    <w:rsid w:val="00AF7D89"/>
    <w:rsid w:val="00B0501B"/>
    <w:rsid w:val="00B10DE0"/>
    <w:rsid w:val="00B11B96"/>
    <w:rsid w:val="00B15079"/>
    <w:rsid w:val="00B25AB9"/>
    <w:rsid w:val="00B34910"/>
    <w:rsid w:val="00B40B87"/>
    <w:rsid w:val="00B42117"/>
    <w:rsid w:val="00B51B56"/>
    <w:rsid w:val="00B5286C"/>
    <w:rsid w:val="00B630C8"/>
    <w:rsid w:val="00B75B22"/>
    <w:rsid w:val="00B8067C"/>
    <w:rsid w:val="00B81391"/>
    <w:rsid w:val="00BA571C"/>
    <w:rsid w:val="00BA6CC1"/>
    <w:rsid w:val="00BD20C1"/>
    <w:rsid w:val="00BD5A51"/>
    <w:rsid w:val="00BF02A7"/>
    <w:rsid w:val="00BF4DAF"/>
    <w:rsid w:val="00BF7C89"/>
    <w:rsid w:val="00C04CDE"/>
    <w:rsid w:val="00C10087"/>
    <w:rsid w:val="00C10135"/>
    <w:rsid w:val="00C1141D"/>
    <w:rsid w:val="00C12BC9"/>
    <w:rsid w:val="00C17D12"/>
    <w:rsid w:val="00C21976"/>
    <w:rsid w:val="00C3690F"/>
    <w:rsid w:val="00C44C02"/>
    <w:rsid w:val="00C83889"/>
    <w:rsid w:val="00C8396C"/>
    <w:rsid w:val="00C86C18"/>
    <w:rsid w:val="00C9307D"/>
    <w:rsid w:val="00CC261F"/>
    <w:rsid w:val="00CC5221"/>
    <w:rsid w:val="00CD7C90"/>
    <w:rsid w:val="00CE1F09"/>
    <w:rsid w:val="00CE5C7C"/>
    <w:rsid w:val="00CF0391"/>
    <w:rsid w:val="00CF35E3"/>
    <w:rsid w:val="00D043E1"/>
    <w:rsid w:val="00D2768F"/>
    <w:rsid w:val="00D30A3F"/>
    <w:rsid w:val="00D312EF"/>
    <w:rsid w:val="00D4064F"/>
    <w:rsid w:val="00D5574B"/>
    <w:rsid w:val="00D5594C"/>
    <w:rsid w:val="00D62269"/>
    <w:rsid w:val="00D654AD"/>
    <w:rsid w:val="00D7312E"/>
    <w:rsid w:val="00D812F3"/>
    <w:rsid w:val="00D82E49"/>
    <w:rsid w:val="00D84884"/>
    <w:rsid w:val="00D866C5"/>
    <w:rsid w:val="00D91925"/>
    <w:rsid w:val="00D95F4A"/>
    <w:rsid w:val="00DA320D"/>
    <w:rsid w:val="00DA744A"/>
    <w:rsid w:val="00DC55A0"/>
    <w:rsid w:val="00DE3098"/>
    <w:rsid w:val="00DE3836"/>
    <w:rsid w:val="00DE7870"/>
    <w:rsid w:val="00E20590"/>
    <w:rsid w:val="00E40861"/>
    <w:rsid w:val="00E42294"/>
    <w:rsid w:val="00E42BD4"/>
    <w:rsid w:val="00E46727"/>
    <w:rsid w:val="00E57CBB"/>
    <w:rsid w:val="00E642F7"/>
    <w:rsid w:val="00E678EF"/>
    <w:rsid w:val="00E72F4C"/>
    <w:rsid w:val="00E96BE2"/>
    <w:rsid w:val="00E9795D"/>
    <w:rsid w:val="00EB02FF"/>
    <w:rsid w:val="00EB0768"/>
    <w:rsid w:val="00EC652C"/>
    <w:rsid w:val="00ED262F"/>
    <w:rsid w:val="00ED4021"/>
    <w:rsid w:val="00EF0BA5"/>
    <w:rsid w:val="00F10A18"/>
    <w:rsid w:val="00F10B04"/>
    <w:rsid w:val="00F22A0B"/>
    <w:rsid w:val="00F41746"/>
    <w:rsid w:val="00F63482"/>
    <w:rsid w:val="00F65478"/>
    <w:rsid w:val="00F70B7B"/>
    <w:rsid w:val="00F7226C"/>
    <w:rsid w:val="00F90ED5"/>
    <w:rsid w:val="00F9607A"/>
    <w:rsid w:val="00FA3DEB"/>
    <w:rsid w:val="00FB0B97"/>
    <w:rsid w:val="00FD0D0F"/>
    <w:rsid w:val="00FD73FA"/>
    <w:rsid w:val="00FE495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4B39C6"/>
    <w:rPr>
      <w:rFonts w:ascii="Open Sans" w:hAnsi="Open Sans"/>
      <w:kern w:val="0"/>
      <w:sz w:val="32"/>
      <w14:ligatures w14:val="none"/>
    </w:rPr>
  </w:style>
  <w:style w:type="paragraph" w:styleId="Titre1">
    <w:name w:val="heading 1"/>
    <w:basedOn w:val="Normal"/>
    <w:next w:val="Titre2"/>
    <w:link w:val="Titre1Car"/>
    <w:autoRedefine/>
    <w:uiPriority w:val="9"/>
    <w:qFormat/>
    <w:rsid w:val="0090621A"/>
    <w:pPr>
      <w:keepNext/>
      <w:keepLines/>
      <w:numPr>
        <w:numId w:val="4"/>
      </w:numPr>
      <w:spacing w:after="0" w:line="900" w:lineRule="atLeas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CGPC-elearning"/>
    <w:next w:val="Normal"/>
    <w:link w:val="Titre2Car"/>
    <w:autoRedefine/>
    <w:uiPriority w:val="9"/>
    <w:unhideWhenUsed/>
    <w:qFormat/>
    <w:rsid w:val="0090621A"/>
    <w:pPr>
      <w:keepNext/>
      <w:keepLines/>
      <w:numPr>
        <w:numId w:val="1"/>
      </w:numPr>
      <w:shd w:val="clear" w:color="auto" w:fill="FFFFFF"/>
      <w:spacing w:before="600" w:after="0" w:line="600" w:lineRule="atLeast"/>
      <w:contextualSpacing/>
      <w:textAlignment w:val="baseline"/>
      <w:outlineLvl w:val="1"/>
    </w:pPr>
    <w:rPr>
      <w:rFonts w:eastAsiaTheme="majorEastAsia"/>
      <w:b/>
      <w:color w:val="3A5D9C"/>
      <w:sz w:val="52"/>
      <w:szCs w:val="26"/>
    </w:rPr>
  </w:style>
  <w:style w:type="paragraph" w:styleId="Titre3">
    <w:name w:val="heading 3"/>
    <w:aliases w:val="Titre 3 CGPC"/>
    <w:basedOn w:val="CGPC-elearning"/>
    <w:next w:val="Normal"/>
    <w:link w:val="Titre3Car"/>
    <w:autoRedefine/>
    <w:uiPriority w:val="9"/>
    <w:unhideWhenUsed/>
    <w:qFormat/>
    <w:rsid w:val="007814E2"/>
    <w:pPr>
      <w:keepNext/>
      <w:keepLines/>
      <w:numPr>
        <w:numId w:val="3"/>
      </w:numPr>
      <w:shd w:val="clear" w:color="auto" w:fill="FFFFFF"/>
      <w:spacing w:before="600" w:after="200" w:line="240" w:lineRule="auto"/>
      <w:textAlignment w:val="baseline"/>
      <w:outlineLvl w:val="2"/>
    </w:pPr>
    <w:rPr>
      <w:b/>
      <w:color w:val="3A5D9C"/>
      <w:sz w:val="48"/>
      <w:szCs w:val="30"/>
    </w:rPr>
  </w:style>
  <w:style w:type="paragraph" w:styleId="Titre4">
    <w:name w:val="heading 4"/>
    <w:aliases w:val="Titre 4 CGPC"/>
    <w:basedOn w:val="CGPC-elearning"/>
    <w:next w:val="Normal"/>
    <w:link w:val="Titre4Car"/>
    <w:autoRedefine/>
    <w:uiPriority w:val="9"/>
    <w:unhideWhenUsed/>
    <w:qFormat/>
    <w:rsid w:val="007814E2"/>
    <w:pPr>
      <w:keepNext/>
      <w:keepLines/>
      <w:numPr>
        <w:numId w:val="2"/>
      </w:numPr>
      <w:spacing w:before="600" w:after="200" w:line="240" w:lineRule="auto"/>
      <w:outlineLvl w:val="3"/>
    </w:pPr>
    <w:rPr>
      <w:rFonts w:eastAsiaTheme="majorEastAsia" w:cstheme="majorBidi"/>
      <w:b/>
      <w:iCs/>
      <w:color w:val="2F5496" w:themeColor="accent1" w:themeShade="BF"/>
      <w:sz w:val="44"/>
    </w:rPr>
  </w:style>
  <w:style w:type="paragraph" w:styleId="Titre5">
    <w:name w:val="heading 5"/>
    <w:aliases w:val="Titre 5 CGPC"/>
    <w:basedOn w:val="CGPC-elearning"/>
    <w:next w:val="Normal"/>
    <w:link w:val="Titre5Car"/>
    <w:autoRedefine/>
    <w:uiPriority w:val="9"/>
    <w:unhideWhenUsed/>
    <w:qFormat/>
    <w:rsid w:val="007814E2"/>
    <w:pPr>
      <w:keepNext/>
      <w:keepLines/>
      <w:numPr>
        <w:numId w:val="5"/>
      </w:numPr>
      <w:spacing w:before="400" w:after="360"/>
      <w:outlineLvl w:val="4"/>
    </w:pPr>
    <w:rPr>
      <w:rFonts w:cstheme="majorBidi"/>
      <w:b/>
      <w:i/>
      <w:color w:val="2F5496" w:themeColor="accent1" w:themeShade="BF"/>
      <w:sz w:val="40"/>
    </w:rPr>
  </w:style>
  <w:style w:type="paragraph" w:styleId="Titre6">
    <w:name w:val="heading 6"/>
    <w:basedOn w:val="Normal"/>
    <w:next w:val="Normal"/>
    <w:link w:val="Titre6Car"/>
    <w:autoRedefine/>
    <w:uiPriority w:val="9"/>
    <w:semiHidden/>
    <w:unhideWhenUsed/>
    <w:rsid w:val="002A4C01"/>
    <w:pPr>
      <w:keepNext/>
      <w:keepLines/>
      <w:numPr>
        <w:numId w:val="6"/>
      </w:numPr>
      <w:spacing w:before="40" w:after="0"/>
      <w:outlineLvl w:val="5"/>
    </w:pPr>
    <w:rPr>
      <w:rFonts w:asciiTheme="majorHAnsi" w:eastAsiaTheme="majorEastAsia" w:hAnsiTheme="majorHAnsi" w:cstheme="majorBidi"/>
      <w:color w:val="2F5496" w:themeColor="accent1" w:themeShade="BF"/>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90621A"/>
    <w:rPr>
      <w:rFonts w:ascii="Open Sans" w:eastAsiaTheme="majorEastAsia" w:hAnsi="Open Sans" w:cs="Open Sans"/>
      <w:b/>
      <w:bCs/>
      <w:color w:val="3A5D9C"/>
      <w:sz w:val="52"/>
      <w:szCs w:val="26"/>
      <w:bdr w:val="none" w:sz="0" w:space="0" w:color="auto" w:frame="1"/>
      <w:shd w:val="clear" w:color="auto" w:fill="FFFFFF"/>
      <w:lang w:eastAsia="en-GB"/>
    </w:rPr>
  </w:style>
  <w:style w:type="character" w:customStyle="1" w:styleId="Titre1Car">
    <w:name w:val="Titre 1 Car"/>
    <w:basedOn w:val="Policepardfaut"/>
    <w:link w:val="Titre1"/>
    <w:uiPriority w:val="9"/>
    <w:rsid w:val="0090621A"/>
    <w:rPr>
      <w:rFonts w:ascii="Open Sans" w:eastAsiaTheme="majorEastAsia" w:hAnsi="Open Sans" w:cstheme="majorBidi"/>
      <w:b/>
      <w:color w:val="FFFFFF" w:themeColor="background1"/>
      <w:kern w:val="0"/>
      <w:sz w:val="56"/>
      <w:szCs w:val="32"/>
      <w14:ligatures w14:val="none"/>
    </w:rPr>
  </w:style>
  <w:style w:type="paragraph" w:customStyle="1" w:styleId="CGPC-elearning">
    <w:name w:val="CGPC-elearning"/>
    <w:basedOn w:val="Normal"/>
    <w:link w:val="CGPC-elearningCar"/>
    <w:autoRedefine/>
    <w:rsid w:val="00133AA2"/>
    <w:rPr>
      <w:rFonts w:eastAsia="Times New Roman" w:cs="Open Sans"/>
      <w:bCs/>
      <w:color w:val="000000"/>
      <w:kern w:val="2"/>
      <w:szCs w:val="24"/>
      <w:bdr w:val="none" w:sz="0" w:space="0" w:color="auto" w:frame="1"/>
      <w:lang w:eastAsia="en-GB"/>
      <w14:ligatures w14:val="standardContextual"/>
    </w:rPr>
  </w:style>
  <w:style w:type="character" w:customStyle="1" w:styleId="CGPC-elearningCar">
    <w:name w:val="CGPC-elearning Car"/>
    <w:basedOn w:val="Policepardfaut"/>
    <w:link w:val="CGPC-elearning"/>
    <w:rsid w:val="0047315F"/>
    <w:rPr>
      <w:rFonts w:ascii="Open Sans" w:eastAsia="Times New Roman" w:hAnsi="Open Sans" w:cs="Open Sans"/>
      <w:bCs/>
      <w:color w:val="000000"/>
      <w:sz w:val="32"/>
      <w:szCs w:val="24"/>
      <w:bdr w:val="none" w:sz="0" w:space="0" w:color="auto" w:frame="1"/>
      <w:lang w:eastAsia="en-GB"/>
    </w:rPr>
  </w:style>
  <w:style w:type="character" w:customStyle="1" w:styleId="Titre3Car">
    <w:name w:val="Titre 3 Car"/>
    <w:aliases w:val="Titre 3 CGPC Car"/>
    <w:basedOn w:val="Policepardfaut"/>
    <w:link w:val="Titre3"/>
    <w:uiPriority w:val="9"/>
    <w:rsid w:val="007814E2"/>
    <w:rPr>
      <w:rFonts w:ascii="Open Sans" w:eastAsia="Times New Roman" w:hAnsi="Open Sans" w:cs="Open Sans"/>
      <w:b/>
      <w:bCs/>
      <w:color w:val="3A5D9C"/>
      <w:sz w:val="48"/>
      <w:szCs w:val="30"/>
      <w:bdr w:val="none" w:sz="0" w:space="0" w:color="auto" w:frame="1"/>
      <w:shd w:val="clear" w:color="auto" w:fill="FFFFFF"/>
      <w:lang w:eastAsia="en-GB"/>
    </w:rPr>
  </w:style>
  <w:style w:type="character" w:customStyle="1" w:styleId="Titre4Car">
    <w:name w:val="Titre 4 Car"/>
    <w:aliases w:val="Titre 4 CGPC Car"/>
    <w:basedOn w:val="Policepardfaut"/>
    <w:link w:val="Titre4"/>
    <w:uiPriority w:val="9"/>
    <w:rsid w:val="007814E2"/>
    <w:rPr>
      <w:rFonts w:ascii="Open Sans" w:eastAsiaTheme="majorEastAsia" w:hAnsi="Open Sans" w:cstheme="majorBidi"/>
      <w:b/>
      <w:bCs/>
      <w:iCs/>
      <w:color w:val="2F5496" w:themeColor="accent1" w:themeShade="BF"/>
      <w:sz w:val="44"/>
      <w:szCs w:val="24"/>
      <w:bdr w:val="none" w:sz="0" w:space="0" w:color="auto" w:frame="1"/>
      <w:lang w:eastAsia="en-GB"/>
    </w:rPr>
  </w:style>
  <w:style w:type="character" w:customStyle="1" w:styleId="Titre5Car">
    <w:name w:val="Titre 5 Car"/>
    <w:aliases w:val="Titre 5 CGPC Car"/>
    <w:basedOn w:val="Policepardfaut"/>
    <w:link w:val="Titre5"/>
    <w:uiPriority w:val="9"/>
    <w:rsid w:val="007814E2"/>
    <w:rPr>
      <w:rFonts w:ascii="Open Sans" w:eastAsia="Times New Roman" w:hAnsi="Open Sans" w:cstheme="majorBidi"/>
      <w:b/>
      <w:bCs/>
      <w:i/>
      <w:color w:val="2F5496" w:themeColor="accent1" w:themeShade="BF"/>
      <w:sz w:val="40"/>
      <w:szCs w:val="24"/>
      <w:bdr w:val="none" w:sz="0" w:space="0" w:color="auto" w:frame="1"/>
      <w:lang w:eastAsia="en-GB"/>
    </w:rPr>
  </w:style>
  <w:style w:type="paragraph" w:styleId="NormalWeb">
    <w:name w:val="Normal (Web)"/>
    <w:basedOn w:val="Normal"/>
    <w:uiPriority w:val="99"/>
    <w:unhideWhenUsed/>
    <w:rsid w:val="00913774"/>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 w:type="character" w:customStyle="1" w:styleId="Titre6Car">
    <w:name w:val="Titre 6 Car"/>
    <w:basedOn w:val="Policepardfaut"/>
    <w:link w:val="Titre6"/>
    <w:uiPriority w:val="9"/>
    <w:semiHidden/>
    <w:rsid w:val="002A4C01"/>
    <w:rPr>
      <w:rFonts w:asciiTheme="majorHAnsi" w:eastAsiaTheme="majorEastAsia" w:hAnsiTheme="majorHAnsi" w:cstheme="majorBidi"/>
      <w:color w:val="2F5496" w:themeColor="accent1" w:themeShade="BF"/>
      <w:kern w:val="0"/>
      <w:sz w:val="28"/>
      <w14:ligatures w14:val="none"/>
    </w:rPr>
  </w:style>
  <w:style w:type="paragraph" w:styleId="TM4">
    <w:name w:val="toc 4"/>
    <w:basedOn w:val="Normal"/>
    <w:next w:val="Normal"/>
    <w:autoRedefine/>
    <w:uiPriority w:val="39"/>
    <w:unhideWhenUsed/>
    <w:rsid w:val="00E40861"/>
    <w:pPr>
      <w:spacing w:after="100"/>
      <w:ind w:left="720"/>
    </w:pPr>
  </w:style>
  <w:style w:type="paragraph" w:styleId="Paragraphedeliste">
    <w:name w:val="List Paragraph"/>
    <w:basedOn w:val="Normal"/>
    <w:uiPriority w:val="34"/>
    <w:rsid w:val="00641EB5"/>
    <w:pPr>
      <w:ind w:left="720"/>
      <w:contextualSpacing/>
    </w:pPr>
  </w:style>
  <w:style w:type="character" w:customStyle="1" w:styleId="txt">
    <w:name w:val="txt"/>
    <w:basedOn w:val="Policepardfaut"/>
    <w:rsid w:val="00AF0EA1"/>
  </w:style>
  <w:style w:type="character" w:customStyle="1" w:styleId="txtbold">
    <w:name w:val="txtbold"/>
    <w:basedOn w:val="Policepardfaut"/>
    <w:rsid w:val="00AF0EA1"/>
  </w:style>
  <w:style w:type="character" w:styleId="Textedelespacerserv">
    <w:name w:val="Placeholder Text"/>
    <w:basedOn w:val="Policepardfaut"/>
    <w:uiPriority w:val="99"/>
    <w:semiHidden/>
    <w:rsid w:val="00E9795D"/>
    <w:rPr>
      <w:color w:val="666666"/>
    </w:rPr>
  </w:style>
  <w:style w:type="character" w:styleId="Marquedecommentaire">
    <w:name w:val="annotation reference"/>
    <w:basedOn w:val="Policepardfaut"/>
    <w:uiPriority w:val="99"/>
    <w:semiHidden/>
    <w:unhideWhenUsed/>
    <w:rsid w:val="00C21976"/>
    <w:rPr>
      <w:sz w:val="16"/>
      <w:szCs w:val="16"/>
    </w:rPr>
  </w:style>
  <w:style w:type="paragraph" w:styleId="Commentaire">
    <w:name w:val="annotation text"/>
    <w:basedOn w:val="Normal"/>
    <w:link w:val="CommentaireCar"/>
    <w:uiPriority w:val="99"/>
    <w:unhideWhenUsed/>
    <w:rsid w:val="00C21976"/>
    <w:pPr>
      <w:spacing w:line="240" w:lineRule="auto"/>
    </w:pPr>
    <w:rPr>
      <w:sz w:val="20"/>
      <w:szCs w:val="20"/>
    </w:rPr>
  </w:style>
  <w:style w:type="character" w:customStyle="1" w:styleId="CommentaireCar">
    <w:name w:val="Commentaire Car"/>
    <w:basedOn w:val="Policepardfaut"/>
    <w:link w:val="Commentaire"/>
    <w:uiPriority w:val="99"/>
    <w:rsid w:val="00C21976"/>
    <w:rPr>
      <w:rFonts w:ascii="Open Sans" w:hAnsi="Open Sans"/>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C21976"/>
    <w:rPr>
      <w:b/>
      <w:bCs/>
    </w:rPr>
  </w:style>
  <w:style w:type="character" w:customStyle="1" w:styleId="ObjetducommentaireCar">
    <w:name w:val="Objet du commentaire Car"/>
    <w:basedOn w:val="CommentaireCar"/>
    <w:link w:val="Objetducommentaire"/>
    <w:uiPriority w:val="99"/>
    <w:semiHidden/>
    <w:rsid w:val="00C21976"/>
    <w:rPr>
      <w:rFonts w:ascii="Open Sans" w:hAnsi="Open Sans"/>
      <w:b/>
      <w:bCs/>
      <w:kern w:val="0"/>
      <w:sz w:val="20"/>
      <w:szCs w:val="20"/>
      <w14:ligatures w14:val="none"/>
    </w:rPr>
  </w:style>
  <w:style w:type="character" w:styleId="Mentionnonrsolue">
    <w:name w:val="Unresolved Mention"/>
    <w:basedOn w:val="Policepardfaut"/>
    <w:uiPriority w:val="99"/>
    <w:semiHidden/>
    <w:unhideWhenUsed/>
    <w:rsid w:val="00146C7C"/>
    <w:rPr>
      <w:color w:val="605E5C"/>
      <w:shd w:val="clear" w:color="auto" w:fill="E1DFDD"/>
    </w:rPr>
  </w:style>
  <w:style w:type="character" w:styleId="Lienhypertextesuivivisit">
    <w:name w:val="FollowedHyperlink"/>
    <w:basedOn w:val="Policepardfaut"/>
    <w:uiPriority w:val="99"/>
    <w:semiHidden/>
    <w:unhideWhenUsed/>
    <w:rsid w:val="00C04CD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77568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16644591">
      <w:bodyDiv w:val="1"/>
      <w:marLeft w:val="0"/>
      <w:marRight w:val="0"/>
      <w:marTop w:val="0"/>
      <w:marBottom w:val="0"/>
      <w:divBdr>
        <w:top w:val="none" w:sz="0" w:space="0" w:color="auto"/>
        <w:left w:val="none" w:sz="0" w:space="0" w:color="auto"/>
        <w:bottom w:val="none" w:sz="0" w:space="0" w:color="auto"/>
        <w:right w:val="none" w:sz="0" w:space="0" w:color="auto"/>
      </w:divBdr>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15721327">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0592764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805533">
      <w:bodyDiv w:val="1"/>
      <w:marLeft w:val="0"/>
      <w:marRight w:val="0"/>
      <w:marTop w:val="0"/>
      <w:marBottom w:val="0"/>
      <w:divBdr>
        <w:top w:val="none" w:sz="0" w:space="0" w:color="auto"/>
        <w:left w:val="none" w:sz="0" w:space="0" w:color="auto"/>
        <w:bottom w:val="none" w:sz="0" w:space="0" w:color="auto"/>
        <w:right w:val="none" w:sz="0" w:space="0" w:color="auto"/>
      </w:divBdr>
      <w:divsChild>
        <w:div w:id="2131893723">
          <w:marLeft w:val="0"/>
          <w:marRight w:val="0"/>
          <w:marTop w:val="180"/>
          <w:marBottom w:val="240"/>
          <w:divBdr>
            <w:top w:val="none" w:sz="0" w:space="0" w:color="auto"/>
            <w:left w:val="none" w:sz="0" w:space="0" w:color="auto"/>
            <w:bottom w:val="none" w:sz="0" w:space="0" w:color="auto"/>
            <w:right w:val="none" w:sz="0" w:space="0" w:color="auto"/>
          </w:divBdr>
          <w:divsChild>
            <w:div w:id="46876767">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impots.gouv.fr/portail/files/media/3_Documentation/guides_notices/guide_eval_entreprises.pdf"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06D14F6A22C4A19BA5D70334F5F459D"/>
        <w:category>
          <w:name w:val="Général"/>
          <w:gallery w:val="placeholder"/>
        </w:category>
        <w:types>
          <w:type w:val="bbPlcHdr"/>
        </w:types>
        <w:behaviors>
          <w:behavior w:val="content"/>
        </w:behaviors>
        <w:guid w:val="{8C0A89B6-20F2-44CE-A4D4-E81C9BEDB064}"/>
      </w:docPartPr>
      <w:docPartBody>
        <w:p w:rsidR="004C1316" w:rsidRDefault="004A7B6F">
          <w:r w:rsidRPr="00E36B33">
            <w:rPr>
              <w:rStyle w:val="Textedelespacerserv"/>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Fira Sans">
    <w:panose1 w:val="020B0503050000020004"/>
    <w:charset w:val="00"/>
    <w:family w:val="swiss"/>
    <w:pitch w:val="variable"/>
    <w:sig w:usb0="600002FF" w:usb1="00000001" w:usb2="00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7B6F"/>
    <w:rsid w:val="004A7B6F"/>
    <w:rsid w:val="004B02E5"/>
    <w:rsid w:val="004C1316"/>
    <w:rsid w:val="006373CB"/>
    <w:rsid w:val="00717890"/>
    <w:rsid w:val="00C01843"/>
    <w:rsid w:val="00C369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A7B6F"/>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90D7606-C457-4DA4-B7AA-DD0FD9B98595}">
  <ds:schemaRefs>
    <ds:schemaRef ds:uri="http://schemas.microsoft.com/sharepoint/v3/contenttype/forms"/>
  </ds:schemaRefs>
</ds:datastoreItem>
</file>

<file path=customXml/itemProps2.xml><?xml version="1.0" encoding="utf-8"?>
<ds:datastoreItem xmlns:ds="http://schemas.openxmlformats.org/officeDocument/2006/customXml" ds:itemID="{17D94312-5F54-4C7F-BA70-A88CC6096EAC}"/>
</file>

<file path=customXml/itemProps3.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4.xml><?xml version="1.0" encoding="utf-8"?>
<ds:datastoreItem xmlns:ds="http://schemas.openxmlformats.org/officeDocument/2006/customXml" ds:itemID="{B00DE753-2EC9-44DA-9467-D6A2356D8212}"/>
</file>

<file path=docProps/app.xml><?xml version="1.0" encoding="utf-8"?>
<Properties xmlns="http://schemas.openxmlformats.org/officeDocument/2006/extended-properties" xmlns:vt="http://schemas.openxmlformats.org/officeDocument/2006/docPropsVTypes">
  <Template>Normal.dotm</Template>
  <TotalTime>0</TotalTime>
  <Pages>24</Pages>
  <Words>4753</Words>
  <Characters>27097</Characters>
  <Application>Microsoft Office Word</Application>
  <DocSecurity>0</DocSecurity>
  <Lines>225</Lines>
  <Paragraphs>63</Paragraphs>
  <ScaleCrop>false</ScaleCrop>
  <HeadingPairs>
    <vt:vector size="2" baseType="variant">
      <vt:variant>
        <vt:lpstr>Titre</vt:lpstr>
      </vt:variant>
      <vt:variant>
        <vt:i4>1</vt:i4>
      </vt:variant>
    </vt:vector>
  </HeadingPairs>
  <TitlesOfParts>
    <vt:vector size="1" baseType="lpstr">
      <vt:lpstr>Impôt sur la fortune immobilière</vt:lpstr>
    </vt:vector>
  </TitlesOfParts>
  <Company>CGPC - membre FPSB</Company>
  <LinksUpToDate>false</LinksUpToDate>
  <CharactersWithSpaces>31787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Impôt sur la fortune immobilière</dc:title>
  <dc:subject/>
  <dc:creator>Renaud Duval</dc:creator>
  <cp:keywords/>
  <dc:description/>
  <cp:lastModifiedBy>Renaud Duval</cp:lastModifiedBy>
  <cp:revision>117</cp:revision>
  <cp:lastPrinted>2024-02-07T13:28:00Z</cp:lastPrinted>
  <dcterms:created xsi:type="dcterms:W3CDTF">2025-04-22T07:40:00Z</dcterms:created>
  <dcterms:modified xsi:type="dcterms:W3CDTF">2025-09-15T09:56:00Z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0x01010069AF460F70362646BCBF863D62D99DF7</vt:lpwstr>
  </property>
</Properties>
</file>